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5601A" w:rsidP="0045601A" w:rsidRDefault="0045601A" w14:paraId="61614178" w14:textId="6F84FB7B">
      <w:pPr>
        <w:spacing w:line="360" w:lineRule="auto"/>
        <w:jc w:val="center"/>
        <w:rPr>
          <w:b/>
          <w:bCs/>
        </w:rPr>
      </w:pPr>
      <w:bookmarkStart w:name="_Hlk98153734" w:id="0"/>
      <w:r w:rsidRPr="2AF58783">
        <w:rPr>
          <w:b/>
          <w:bCs/>
        </w:rPr>
        <w:t>Comparative transcriptional analyses in the nucleus accumbens identifies RGS2 as a key mediator of depression-related behavior</w:t>
      </w:r>
    </w:p>
    <w:bookmarkEnd w:id="0"/>
    <w:p w:rsidR="000701DE" w:rsidRDefault="000701DE" w14:paraId="239E1D35" w14:textId="1D36B88F"/>
    <w:p w:rsidRPr="00F863D9" w:rsidR="0045601A" w:rsidP="00F863D9" w:rsidRDefault="0045601A" w14:paraId="5753021E" w14:textId="20057F58">
      <w:pPr>
        <w:jc w:val="center"/>
        <w:rPr>
          <w:b/>
          <w:bCs/>
        </w:rPr>
      </w:pPr>
      <w:r w:rsidRPr="00F863D9">
        <w:rPr>
          <w:b/>
          <w:bCs/>
        </w:rPr>
        <w:t>Supplemental Information</w:t>
      </w:r>
    </w:p>
    <w:p w:rsidR="0045601A" w:rsidRDefault="0045601A" w14:paraId="0DF31E46" w14:textId="42DD2BF6"/>
    <w:p w:rsidR="0045601A" w:rsidRDefault="0045601A" w14:paraId="39EC4F9D" w14:textId="567CA1D1"/>
    <w:p w:rsidR="0045601A" w:rsidRDefault="0045601A" w14:paraId="0658B1FC" w14:textId="36ADD7C1">
      <w:r>
        <w:t>Supplementary Methods and Materials</w:t>
      </w:r>
    </w:p>
    <w:p w:rsidR="00F863D9" w:rsidRDefault="00F863D9" w14:paraId="463AE84C" w14:textId="5CEE75A3"/>
    <w:p w:rsidR="00F863D9" w:rsidRDefault="00F863D9" w14:paraId="0519D3B6" w14:textId="6340FD49"/>
    <w:p w:rsidRPr="00316541" w:rsidR="003410F7" w:rsidP="003410F7" w:rsidRDefault="003410F7" w14:paraId="287ECB98" w14:textId="77777777">
      <w:pPr>
        <w:spacing w:line="360" w:lineRule="auto"/>
        <w:rPr>
          <w:b/>
          <w:bCs/>
        </w:rPr>
      </w:pPr>
      <w:r w:rsidRPr="00316541">
        <w:rPr>
          <w:b/>
          <w:bCs/>
        </w:rPr>
        <w:t>Animals and housing conditions</w:t>
      </w:r>
    </w:p>
    <w:p w:rsidRPr="00316541" w:rsidR="003410F7" w:rsidP="003410F7" w:rsidRDefault="003410F7" w14:paraId="23554516" w14:textId="7A1B6285">
      <w:pPr>
        <w:spacing w:line="360" w:lineRule="auto"/>
      </w:pPr>
      <w:r w:rsidRPr="00316541">
        <w:t>All studies on California mice (</w:t>
      </w:r>
      <w:r w:rsidRPr="00316541">
        <w:rPr>
          <w:i/>
          <w:iCs/>
        </w:rPr>
        <w:t>Peromyscus californicus</w:t>
      </w:r>
      <w:r w:rsidRPr="00316541">
        <w:t>) were in accordance with the NIH Guide for the Care and Use of Laboratory Animals and approved by the Institutional Animal Care and Use Committee at the University of California, Davis. Mice were</w:t>
      </w:r>
      <w:r w:rsidR="003F64FC">
        <w:t xml:space="preserve"> bred </w:t>
      </w:r>
      <w:r w:rsidR="00175889">
        <w:t>at UC Davis and</w:t>
      </w:r>
      <w:r w:rsidRPr="00316541">
        <w:t xml:space="preserve"> housed in clear polypropylene cages</w:t>
      </w:r>
      <w:r>
        <w:t xml:space="preserve"> containing </w:t>
      </w:r>
      <w:proofErr w:type="spellStart"/>
      <w:r>
        <w:t>sanichip</w:t>
      </w:r>
      <w:proofErr w:type="spellEnd"/>
      <w:r>
        <w:t xml:space="preserve"> bedding, cotton nestlets and enviro-</w:t>
      </w:r>
      <w:proofErr w:type="spellStart"/>
      <w:r>
        <w:t>dri</w:t>
      </w:r>
      <w:proofErr w:type="spellEnd"/>
      <w:r>
        <w:t xml:space="preserve">. Food (Harlan </w:t>
      </w:r>
      <w:proofErr w:type="spellStart"/>
      <w:r>
        <w:t>Teklad</w:t>
      </w:r>
      <w:proofErr w:type="spellEnd"/>
      <w:r>
        <w:t xml:space="preserve"> 2016) was provided </w:t>
      </w:r>
      <w:r w:rsidRPr="00487605">
        <w:rPr>
          <w:i/>
        </w:rPr>
        <w:t>ad libitum</w:t>
      </w:r>
      <w:r w:rsidR="008F2128">
        <w:rPr>
          <w:i/>
        </w:rPr>
        <w:t xml:space="preserve">. </w:t>
      </w:r>
      <w:r w:rsidR="008F2128">
        <w:rPr>
          <w:iCs/>
        </w:rPr>
        <w:t>Mice were housed 2-4 per cage and</w:t>
      </w:r>
      <w:r>
        <w:t xml:space="preserve"> maintained</w:t>
      </w:r>
      <w:r w:rsidRPr="00316541">
        <w:t xml:space="preserve"> on a 16L:8D light cycle</w:t>
      </w:r>
      <w:r w:rsidR="00175889">
        <w:t xml:space="preserve"> with lights out at 2 PM Pacific Standard Time</w:t>
      </w:r>
      <w:r w:rsidRPr="00316541">
        <w:t>. No systematic biases in the distribution of estrous stage across treatment groups were detected across experiments.</w:t>
      </w:r>
    </w:p>
    <w:p w:rsidRPr="00316541" w:rsidR="003410F7" w:rsidP="003410F7" w:rsidRDefault="003410F7" w14:paraId="19481FAE" w14:textId="77777777">
      <w:pPr>
        <w:spacing w:line="360" w:lineRule="auto"/>
      </w:pPr>
    </w:p>
    <w:p w:rsidRPr="00316541" w:rsidR="003410F7" w:rsidP="003410F7" w:rsidRDefault="003410F7" w14:paraId="7EF42302" w14:textId="77777777">
      <w:pPr>
        <w:spacing w:line="360" w:lineRule="auto"/>
        <w:rPr>
          <w:b/>
          <w:bCs/>
        </w:rPr>
      </w:pPr>
      <w:r w:rsidRPr="00316541">
        <w:rPr>
          <w:b/>
          <w:bCs/>
        </w:rPr>
        <w:t>Social Defeat Stress</w:t>
      </w:r>
      <w:r>
        <w:rPr>
          <w:b/>
          <w:bCs/>
        </w:rPr>
        <w:t xml:space="preserve"> (SDS)</w:t>
      </w:r>
    </w:p>
    <w:p w:rsidRPr="00940AB3" w:rsidR="003410F7" w:rsidP="003410F7" w:rsidRDefault="003410F7" w14:paraId="76F00AE5" w14:textId="21EB7176">
      <w:pPr>
        <w:spacing w:line="360" w:lineRule="auto"/>
      </w:pPr>
      <w:r w:rsidRPr="00E73C4D">
        <w:t>Mice were randomly assigned to control handling or social defeat</w:t>
      </w:r>
      <w:r>
        <w:t xml:space="preserve"> </w:t>
      </w:r>
      <w:r w:rsidRPr="00E73C4D">
        <w:t>for 3 consecutive days as previously</w:t>
      </w:r>
      <w:r>
        <w:t xml:space="preserve"> described</w:t>
      </w:r>
      <w:r>
        <w:fldChar w:fldCharType="begin"/>
      </w:r>
      <w:r>
        <w:instrText xml:space="preserve"> ADDIN ZOTERO_ITEM CSL_CITATION {"citationID":"i1oO4CFR","properties":{"formattedCitation":"(26)","plainCitation":"(26)","noteIndex":0},"citationItems":[{"id":"Pz1x8QCL/epdgnRJb","uris":["http://zotero.org/users/5519715/items/LD5P4LV9"],"itemData":{"id":10134,"type":"article-journal","abstract":"Kappa opioid receptors (KOR) are considered to be a promising therapeutic target for stress-induced psychiatric disorders such as anxiety and depression. Preclinical data show that KOR antagonists have greater eﬃcacy if administered before stressful experiences as opposed to afterwards. However, almost all of these studies use long-acting antagonists, leaving it unclear whether inhibition of KOR after stress is required for eﬃcacy. Here we show that administration of the short-acting KOR antagonist AZ-MTAB before episodes of social defeat stress block the induction of anhedonia (both males and females) and social avoidance responses (females) that persist two weeks after stress. In both males and females pre-stress AZ-MTAB treatment also blunted anticipatory autogrooming behavior immediately prior to the third episode of defeat. In contrast when AZ-MTAB was administered two weeks after defeat (immediately before behavior testing) in female California mice, it was ineﬀective at reversing anhedonia and social avoidance. These results suggest that short-acting KOR antagonists may have greater therapeutic potential if administered before exposure to psychosocial stressors.","container-title":"Progress in Neuro-Psychopharmacology and Biological Psychiatry","DOI":"10.1016/j.pnpbp.2018.06.001","ISSN":"02785846","language":"en","page":"166-174","source":"Crossref","title":"Acute inhibition of kappa opioid receptors before stress blocks depression-like behaviors in California mice","volume":"86","author":[{"family":"Williams","given":"Alexia V."},{"family":"Laman-Maharg","given":"Abigail"},{"family":"Armstrong","given":"Crystal V."},{"family":"Ramos-Maciel","given":"Stephanie"},{"family":"Minie","given":"Vanessa A."},{"family":"Trainor","given":"Brian C."}],"issued":{"date-parts":[["2018",8]]}}}],"schema":"https://github.com/citation-style-language/schema/raw/master/csl-citation.json"} </w:instrText>
      </w:r>
      <w:r>
        <w:fldChar w:fldCharType="separate"/>
      </w:r>
      <w:r w:rsidRPr="00285BCA">
        <w:t>(26)</w:t>
      </w:r>
      <w:r>
        <w:fldChar w:fldCharType="end"/>
      </w:r>
      <w:r>
        <w:t xml:space="preserve">. </w:t>
      </w:r>
      <w:r w:rsidRPr="00E73C4D">
        <w:t>Control mice were</w:t>
      </w:r>
      <w:r>
        <w:t xml:space="preserve"> placed in a clean cage for 7 min. Mice assigned to social defeat were placed in the home cage of a</w:t>
      </w:r>
      <w:r w:rsidR="00565877">
        <w:t xml:space="preserve"> sexually experienced</w:t>
      </w:r>
      <w:r>
        <w:t xml:space="preserve"> aggressive same-sex mouse for 7 min or until the resident mouse attacked the focal mouse 7 times (whichever occurred first). No animal was physically injured during social defeat. Immediately after defeat or control handling, mice were returned to their home cage. </w:t>
      </w:r>
      <w:r w:rsidRPr="00940AB3">
        <w:t>Behavior tests and brain tissue collection were conducted two weeks after the last episode of social defeat.</w:t>
      </w:r>
    </w:p>
    <w:p w:rsidR="003410F7" w:rsidP="003410F7" w:rsidRDefault="003410F7" w14:paraId="71DEE71A" w14:textId="77777777">
      <w:pPr>
        <w:spacing w:line="360" w:lineRule="auto"/>
        <w:rPr>
          <w:b/>
          <w:bCs/>
        </w:rPr>
      </w:pPr>
      <w:r w:rsidRPr="00F75EC4">
        <w:rPr>
          <w:b/>
          <w:bCs/>
        </w:rPr>
        <w:br/>
      </w:r>
      <w:r w:rsidRPr="00F75EC4">
        <w:rPr>
          <w:b/>
          <w:bCs/>
        </w:rPr>
        <w:t>Sucrose Anhedonia</w:t>
      </w:r>
    </w:p>
    <w:p w:rsidRPr="00E73C4D" w:rsidR="003410F7" w:rsidP="003410F7" w:rsidRDefault="003410F7" w14:paraId="0F54D0A7" w14:textId="6F02D50C">
      <w:pPr>
        <w:autoSpaceDE w:val="0"/>
        <w:autoSpaceDN w:val="0"/>
        <w:adjustRightInd w:val="0"/>
        <w:spacing w:line="360" w:lineRule="auto"/>
      </w:pPr>
      <w:r>
        <w:t>Sucrose preference was assessed using a two-bottle choice test as previously described</w:t>
      </w:r>
      <w:r>
        <w:fldChar w:fldCharType="begin"/>
      </w:r>
      <w:r>
        <w:instrText xml:space="preserve"> ADDIN ZOTERO_ITEM CSL_CITATION {"citationID":"onM2aCiI","properties":{"formattedCitation":"(26)","plainCitation":"(26)","noteIndex":0},"citationItems":[{"id":"Pz1x8QCL/epdgnRJb","uris":["http://zotero.org/users/5519715/items/LD5P4LV9"],"itemData":{"id":10134,"type":"article-journal","abstract":"Kappa opioid receptors (KOR) are considered to be a promising therapeutic target for stress-induced psychiatric disorders such as anxiety and depression. Preclinical data show that KOR antagonists have greater eﬃcacy if administered before stressful experiences as opposed to afterwards. However, almost all of these studies use long-acting antagonists, leaving it unclear whether inhibition of KOR after stress is required for eﬃcacy. Here we show that administration of the short-acting KOR antagonist AZ-MTAB before episodes of social defeat stress block the induction of anhedonia (both males and females) and social avoidance responses (females) that persist two weeks after stress. In both males and females pre-stress AZ-MTAB treatment also blunted anticipatory autogrooming behavior immediately prior to the third episode of defeat. In contrast when AZ-MTAB was administered two weeks after defeat (immediately before behavior testing) in female California mice, it was ineﬀective at reversing anhedonia and social avoidance. These results suggest that short-acting KOR antagonists may have greater therapeutic potential if administered before exposure to psychosocial stressors.","container-title":"Progress in Neuro-Psychopharmacology and Biological Psychiatry","DOI":"10.1016/j.pnpbp.2018.06.001","ISSN":"02785846","language":"en","page":"166-174","source":"Crossref","title":"Acute inhibition of kappa opioid receptors before stress blocks depression-like behaviors in California mice","volume":"86","author":[{"family":"Williams","given":"Alexia V."},{"family":"Laman-Maharg","given":"Abigail"},{"family":"Armstrong","given":"Crystal V."},{"family":"Ramos-Maciel","given":"Stephanie"},{"family":"Minie","given":"Vanessa A."},{"family":"Trainor","given":"Brian C."}],"issued":{"date-parts":[["2018",8]]}}}],"schema":"https://github.com/citation-style-language/schema/raw/master/csl-citation.json"} </w:instrText>
      </w:r>
      <w:r>
        <w:fldChar w:fldCharType="separate"/>
      </w:r>
      <w:r w:rsidRPr="00285BCA">
        <w:t>(26)</w:t>
      </w:r>
      <w:r>
        <w:fldChar w:fldCharType="end"/>
      </w:r>
      <w:r>
        <w:t xml:space="preserve">. Mice were housed for two days with two bottles of tap water to allow for habituation. Following habituation, </w:t>
      </w:r>
      <w:r w:rsidR="00940190">
        <w:t xml:space="preserve">each mouse was individually housed and </w:t>
      </w:r>
      <w:r>
        <w:t xml:space="preserve">water in one bottle was replaced with a 1% sucrose solution. Bottles were weighed before and after a 24 </w:t>
      </w:r>
      <w:proofErr w:type="spellStart"/>
      <w:r>
        <w:t>hr</w:t>
      </w:r>
      <w:proofErr w:type="spellEnd"/>
      <w:r>
        <w:t xml:space="preserve"> observation period. Placement of </w:t>
      </w:r>
      <w:r>
        <w:lastRenderedPageBreak/>
        <w:t>tap water and sucrose solution was counterbalanced across mice. Percent sucrose preference was calculated as the amount of sucrose solution consumed (mL) over total amount of solution consumed (water and sucrose solution combined, mL).</w:t>
      </w:r>
    </w:p>
    <w:p w:rsidRPr="00316541" w:rsidR="003410F7" w:rsidP="003410F7" w:rsidRDefault="003410F7" w14:paraId="43D5420D" w14:textId="77777777">
      <w:pPr>
        <w:spacing w:line="360" w:lineRule="auto"/>
      </w:pPr>
    </w:p>
    <w:p w:rsidR="003410F7" w:rsidP="003410F7" w:rsidRDefault="003410F7" w14:paraId="6753CD14" w14:textId="77777777">
      <w:pPr>
        <w:spacing w:line="360" w:lineRule="auto"/>
        <w:rPr>
          <w:b/>
          <w:bCs/>
        </w:rPr>
      </w:pPr>
      <w:r w:rsidRPr="00316541">
        <w:rPr>
          <w:b/>
          <w:bCs/>
        </w:rPr>
        <w:t xml:space="preserve">Social Interaction Test </w:t>
      </w:r>
    </w:p>
    <w:p w:rsidRPr="00E73C4D" w:rsidR="003410F7" w:rsidP="003410F7" w:rsidRDefault="003410F7" w14:paraId="14EF68BC" w14:textId="17C2A1BB">
      <w:pPr>
        <w:spacing w:line="360" w:lineRule="auto"/>
        <w:rPr>
          <w:b/>
          <w:bCs/>
        </w:rPr>
      </w:pPr>
      <w:r w:rsidRPr="00316541">
        <w:rPr>
          <w:color w:val="000000" w:themeColor="text1"/>
        </w:rPr>
        <w:t>Social interaction testing was performed as previously described</w:t>
      </w:r>
      <w:r>
        <w:rPr>
          <w:color w:val="000000" w:themeColor="text1"/>
        </w:rPr>
        <w:fldChar w:fldCharType="begin"/>
      </w:r>
      <w:r>
        <w:rPr>
          <w:color w:val="000000" w:themeColor="text1"/>
        </w:rPr>
        <w:instrText xml:space="preserve"> ADDIN ZOTERO_ITEM CSL_CITATION {"citationID":"jasIL5pu","properties":{"formattedCitation":"(26,27)","plainCitation":"(26,27)","noteIndex":0},"citationItems":[{"id":"Pz1x8QCL/epdgnRJb","uris":["http://zotero.org/users/5519715/items/LD5P4LV9"],"itemData":{"id":10134,"type":"article-journal","abstract":"Kappa opioid receptors (KOR) are considered to be a promising therapeutic target for stress-induced psychiatric disorders such as anxiety and depression. Preclinical data show that KOR antagonists have greater eﬃcacy if administered before stressful experiences as opposed to afterwards. However, almost all of these studies use long-acting antagonists, leaving it unclear whether inhibition of KOR after stress is required for eﬃcacy. Here we show that administration of the short-acting KOR antagonist AZ-MTAB before episodes of social defeat stress block the induction of anhedonia (both males and females) and social avoidance responses (females) that persist two weeks after stress. In both males and females pre-stress AZ-MTAB treatment also blunted anticipatory autogrooming behavior immediately prior to the third episode of defeat. In contrast when AZ-MTAB was administered two weeks after defeat (immediately before behavior testing) in female California mice, it was ineﬀective at reversing anhedonia and social avoidance. These results suggest that short-acting KOR antagonists may have greater therapeutic potential if administered before exposure to psychosocial stressors.","container-title":"Progress in Neuro-Psychopharmacology and Biological Psychiatry","DOI":"10.1016/j.pnpbp.2018.06.001","ISSN":"02785846","language":"en","page":"166-174","source":"Crossref","title":"Acute inhibition of kappa opioid receptors before stress blocks depression-like behaviors in California mice","volume":"86","author":[{"family":"Williams","given":"Alexia V."},{"family":"Laman-Maharg","given":"Abigail"},{"family":"Armstrong","given":"Crystal V."},{"family":"Ramos-Maciel","given":"Stephanie"},{"family":"Minie","given":"Vanessa A."},{"family":"Trainor","given":"Brian C."}],"issued":{"date-parts":[["2018",8]]}}},{"id":"Pz1x8QCL/A4HWY7qL","uris":["http://zotero.org/users/5519715/items/EEABDASJ"],"itemData":{"id":18686,"type":"article-journal","container-title":"Neuropsychopharmacology","DOI":"10.1038/s41386-020-0657-4","ISSN":"0893-133X, 1740-634X","issue":"9","journalAbbreviation":"Neuropsychopharmacol.","language":"en","page":"1423-1430","source":"DOI.org (Crossref)","title":"Social approach and social vigilance are differentially regulated by oxytocin receptors in the nucleus accumbens","volume":"45","author":[{"family":"Williams","given":"Alexia V."},{"family":"Duque-Wilckens","given":"Natalia"},{"family":"Ramos-Maciel","given":"Stephanie"},{"family":"Campi","given":"Katharine L."},{"family":"Bhela","given":"Shanu K."},{"family":"Xu","given":"Christine K."},{"family":"Jackson","given":"Kenneth"},{"family":"Chini","given":"Bice"},{"family":"Pesavento","given":"Patricia A."},{"family":"Trainor","given":"Brian C."}],"issued":{"date-parts":[["2020",8]]}}}],"schema":"https://github.com/citation-style-language/schema/raw/master/csl-citation.json"} </w:instrText>
      </w:r>
      <w:r>
        <w:rPr>
          <w:color w:val="000000" w:themeColor="text1"/>
        </w:rPr>
        <w:fldChar w:fldCharType="separate"/>
      </w:r>
      <w:r w:rsidRPr="00285BCA">
        <w:t>(26,27)</w:t>
      </w:r>
      <w:r>
        <w:rPr>
          <w:color w:val="000000" w:themeColor="text1"/>
        </w:rPr>
        <w:fldChar w:fldCharType="end"/>
      </w:r>
      <w:r w:rsidRPr="00316541">
        <w:rPr>
          <w:color w:val="000000" w:themeColor="text1"/>
        </w:rPr>
        <w:t xml:space="preserve">. Mice were placed in an open arena for 3 min (open field). Next, an empty cage was placed in the arena and the time spent within 8 cm of the cage (interaction zone) was scored for 3 min (acclimation phase). For the last phase, an unfamiliar same-sex mouse was placed into the cage and time spent near the interaction zone was scored for 3 min (interaction phase). We define time spent in the interaction zone with a target mouse as social approach. Social vigilance was scored during the </w:t>
      </w:r>
      <w:r>
        <w:rPr>
          <w:color w:val="000000" w:themeColor="text1"/>
        </w:rPr>
        <w:t xml:space="preserve">acclimation and </w:t>
      </w:r>
      <w:r w:rsidRPr="00316541">
        <w:rPr>
          <w:color w:val="000000" w:themeColor="text1"/>
        </w:rPr>
        <w:t>interaction phase</w:t>
      </w:r>
      <w:r>
        <w:rPr>
          <w:color w:val="000000" w:themeColor="text1"/>
        </w:rPr>
        <w:t>s</w:t>
      </w:r>
      <w:r w:rsidRPr="00316541">
        <w:rPr>
          <w:color w:val="000000" w:themeColor="text1"/>
        </w:rPr>
        <w:t xml:space="preserve"> by recording the amount of time the focal mouse spent with its head oriented towards the target mouse while outside the interaction zone.</w:t>
      </w:r>
      <w:r w:rsidR="00AB46FF">
        <w:rPr>
          <w:color w:val="000000" w:themeColor="text1"/>
        </w:rPr>
        <w:t xml:space="preserve"> For the sequencing experiment (Fig. 1), a perforated </w:t>
      </w:r>
      <w:r w:rsidR="00737943">
        <w:rPr>
          <w:color w:val="000000" w:themeColor="text1"/>
        </w:rPr>
        <w:t>plexiglass</w:t>
      </w:r>
      <w:r w:rsidR="00AB46FF">
        <w:rPr>
          <w:color w:val="000000" w:themeColor="text1"/>
        </w:rPr>
        <w:t xml:space="preserve"> cage was used </w:t>
      </w:r>
      <w:r w:rsidR="004D1086">
        <w:rPr>
          <w:color w:val="000000" w:themeColor="text1"/>
        </w:rPr>
        <w:t>for the acclimation and interaction phase</w:t>
      </w:r>
      <w:r w:rsidR="00AB46FF">
        <w:rPr>
          <w:color w:val="000000" w:themeColor="text1"/>
        </w:rPr>
        <w:t xml:space="preserve">. </w:t>
      </w:r>
      <w:r w:rsidR="009611F0">
        <w:rPr>
          <w:color w:val="000000" w:themeColor="text1"/>
        </w:rPr>
        <w:t xml:space="preserve">Due to an equipment malfunction, behavior data for two </w:t>
      </w:r>
      <w:r w:rsidR="006E2196">
        <w:rPr>
          <w:color w:val="000000" w:themeColor="text1"/>
        </w:rPr>
        <w:t xml:space="preserve">stressed females was not recorded. </w:t>
      </w:r>
      <w:r w:rsidR="004D1086">
        <w:rPr>
          <w:color w:val="000000" w:themeColor="text1"/>
        </w:rPr>
        <w:t xml:space="preserve">For all other experiments, a wire cage was used </w:t>
      </w:r>
      <w:r w:rsidR="002249F0">
        <w:rPr>
          <w:color w:val="000000" w:themeColor="text1"/>
        </w:rPr>
        <w:t>for the acclimation and interaction phases.</w:t>
      </w:r>
    </w:p>
    <w:p w:rsidRPr="00316541" w:rsidR="003410F7" w:rsidP="003410F7" w:rsidRDefault="003410F7" w14:paraId="3F91C06D" w14:textId="77777777">
      <w:pPr>
        <w:spacing w:line="360" w:lineRule="auto"/>
      </w:pPr>
    </w:p>
    <w:p w:rsidRPr="00316541" w:rsidR="003410F7" w:rsidP="003410F7" w:rsidRDefault="003410F7" w14:paraId="558FDE0D" w14:textId="77777777">
      <w:pPr>
        <w:spacing w:line="360" w:lineRule="auto"/>
        <w:rPr>
          <w:b/>
          <w:bCs/>
        </w:rPr>
      </w:pPr>
      <w:r w:rsidRPr="00316541">
        <w:rPr>
          <w:b/>
          <w:bCs/>
        </w:rPr>
        <w:t>RNA extraction and RNA-sequencing library preparation</w:t>
      </w:r>
    </w:p>
    <w:p w:rsidRPr="00D91335" w:rsidR="003410F7" w:rsidP="003410F7" w:rsidRDefault="003410F7" w14:paraId="0B468B5E" w14:textId="7AE02B6A">
      <w:pPr>
        <w:spacing w:line="360" w:lineRule="auto"/>
      </w:pPr>
      <w:r w:rsidR="003410F7">
        <w:rPr/>
        <w:t xml:space="preserve">Adult </w:t>
      </w:r>
      <w:r w:rsidRPr="649222E4" w:rsidR="003410F7">
        <w:rPr>
          <w:color w:val="000000" w:themeColor="text1" w:themeTint="FF" w:themeShade="FF"/>
        </w:rPr>
        <w:t xml:space="preserve">mice (n = 6-8 per group) </w:t>
      </w:r>
      <w:r w:rsidR="003410F7">
        <w:rPr/>
        <w:t>wer</w:t>
      </w:r>
      <w:r w:rsidR="003410F7">
        <w:rPr/>
        <w:t xml:space="preserve">e anesthetized with isoflurane </w:t>
      </w:r>
      <w:r w:rsidR="003410F7">
        <w:rPr/>
        <w:t>directly from the home cage 1 day after the</w:t>
      </w:r>
      <w:r w:rsidR="003410F7">
        <w:rPr/>
        <w:t xml:space="preserve"> </w:t>
      </w:r>
      <w:r w:rsidR="003410F7">
        <w:rPr/>
        <w:t>final behavioral test. Brains were removed rapidly, placed into ice-cold PBS, and</w:t>
      </w:r>
      <w:r w:rsidR="003410F7">
        <w:rPr/>
        <w:t xml:space="preserve"> </w:t>
      </w:r>
      <w:r w:rsidR="003410F7">
        <w:rPr/>
        <w:t>sliced into 1mm-thick coronal sections in a slice matrix. Bilateral punches were made</w:t>
      </w:r>
      <w:r w:rsidR="003410F7">
        <w:rPr/>
        <w:t xml:space="preserve"> </w:t>
      </w:r>
      <w:r w:rsidR="003410F7">
        <w:rPr/>
        <w:t>from VTA (16 gauge), NAc (14 gauge), and PFC (12 gauge) and flash-frozen in tubes</w:t>
      </w:r>
      <w:r w:rsidR="003410F7">
        <w:rPr/>
        <w:t xml:space="preserve"> </w:t>
      </w:r>
      <w:r w:rsidR="003410F7">
        <w:rPr/>
        <w:t xml:space="preserve">on dry ice. Total RNA was isolated with </w:t>
      </w:r>
      <w:proofErr w:type="spellStart"/>
      <w:r w:rsidR="003410F7">
        <w:rPr/>
        <w:t>TriZol</w:t>
      </w:r>
      <w:proofErr w:type="spellEnd"/>
      <w:r w:rsidR="003410F7">
        <w:rPr/>
        <w:t xml:space="preserve"> reagent (Invitrogen) and purified with</w:t>
      </w:r>
      <w:r w:rsidR="003410F7">
        <w:rPr/>
        <w:t xml:space="preserve"> </w:t>
      </w:r>
      <w:r w:rsidR="003410F7">
        <w:rPr/>
        <w:t xml:space="preserve">RNeasy Micro Kits (Qiagen). All RNA samples were determined to have </w:t>
      </w:r>
      <w:r w:rsidR="003410F7">
        <w:rPr/>
        <w:t>A260/280 values ≥ 1.8 (Nanodrop); samples for RNA-seq had RIN values &gt; 9 (</w:t>
      </w:r>
      <w:proofErr w:type="spellStart"/>
      <w:r w:rsidR="003410F7">
        <w:rPr/>
        <w:t>BioAnalyzer</w:t>
      </w:r>
      <w:proofErr w:type="spellEnd"/>
      <w:r w:rsidR="003410F7">
        <w:rPr/>
        <w:t>, Agilent).</w:t>
      </w:r>
      <w:r w:rsidR="003410F7">
        <w:rPr/>
        <w:t xml:space="preserve"> 500 ng of purified RNA was used to prepare libraries for sequencing using</w:t>
      </w:r>
      <w:r w:rsidR="003410F7">
        <w:rPr/>
        <w:t xml:space="preserve"> </w:t>
      </w:r>
      <w:r w:rsidR="003410F7">
        <w:rPr/>
        <w:t xml:space="preserve">the </w:t>
      </w:r>
      <w:proofErr w:type="spellStart"/>
      <w:r w:rsidR="003410F7">
        <w:rPr/>
        <w:t>Truseq</w:t>
      </w:r>
      <w:proofErr w:type="spellEnd"/>
      <w:r w:rsidR="003410F7">
        <w:rPr/>
        <w:t xml:space="preserve"> mRNA library prep kit (Illumina RS-122-2001/2). </w:t>
      </w:r>
      <w:r w:rsidR="003410F7">
        <w:rPr/>
        <w:t xml:space="preserve">VTA, NAc, and PFC samples were prepared from individual animals (NAc: 8 females/group, males 7-8 per/group; VTA: 8 females/group; PFC: 8 females/group) and sequenced with 125-nt single-end reads at Beckman Coulter Genomics (currently </w:t>
      </w:r>
      <w:proofErr w:type="spellStart"/>
      <w:r w:rsidR="003410F7">
        <w:rPr/>
        <w:t>Genewiz</w:t>
      </w:r>
      <w:proofErr w:type="spellEnd"/>
      <w:r w:rsidR="003410F7">
        <w:rPr/>
        <w:t xml:space="preserve">). Samples were multiplexed to produce &gt;30M reads/sample. </w:t>
      </w:r>
      <w:r w:rsidR="003410F7">
        <w:rPr/>
        <w:t xml:space="preserve">All </w:t>
      </w:r>
      <w:r w:rsidR="003410F7">
        <w:rPr/>
        <w:t xml:space="preserve">reads have been deposited </w:t>
      </w:r>
      <w:r w:rsidR="003410F7">
        <w:rPr/>
        <w:t>RNA-</w:t>
      </w:r>
      <w:r w:rsidR="003410F7">
        <w:rPr/>
        <w:t>seq files are available through</w:t>
      </w:r>
      <w:r w:rsidR="003410F7">
        <w:rPr/>
        <w:t xml:space="preserve"> </w:t>
      </w:r>
      <w:r w:rsidR="003410F7">
        <w:rPr/>
        <w:t xml:space="preserve">NCBI BioProject (ID: </w:t>
      </w:r>
      <w:r w:rsidR="003410F7">
        <w:rPr/>
        <w:t>PRJNA700778</w:t>
      </w:r>
      <w:r w:rsidR="003410F7">
        <w:rPr/>
        <w:t>). RNAseq data from human subjects used for analysis was published previously</w:t>
      </w:r>
      <w:r>
        <w:fldChar w:fldCharType="begin"/>
      </w:r>
      <w:r>
        <w:instrText xml:space="preserve"> ADDIN ZOTERO_ITEM CSL_CITATION {"citationID":"PcHNH1C4","properties":{"formattedCitation":"(19)","plainCitation":"(19)","noteIndex":0},"citationItems":[{"id":"Pz1x8QCL/gNcG2VsH","uris":["http://zotero.org/users/5519715/items/Z7K2TZUD"],"itemData":{"id":10158,"type":"article-journal","container-title":"Nat Med","issue":"9","page":"1102-1111","title":"Sex-specific transcriptional signatures in human depression","volume":"23","author":[{"family":"Labonté","given":"B."},{"family":"Engmann","given":"O."},{"family":"Purushothaman","given":"I."},{"family":"Menard","given":"C."},{"family":"Wang","given":"J."},{"family":"Tan","given":"C."},{"family":"Scarpa","given":"J. R."},{"family":"Moy","given":"G."},{"family":"Loh","given":"Y. E."},{"family":"Cahill","given":"M."},{"family":"Lorsch","given":"Z. S."},{"family":"Hamilton","given":"P. J."},{"family":"Calipari","given":"E. S."},{"family":"Hodes","given":"G. E."},{"family":"Issler","given":"O."},{"family":"Kronham","given":"H."},{"family":"Pfau","given":"M."},{"family":"Obradovic","given":"A. L. J."},{"family":"Dong","given":"Y."},{"family":"Neve","given":"R. L."},{"family":"Russo","given":"S. J."},{"family":"Kazarskis","given":"A."},{"family":"Tamminga","given":"C."},{"family":"Mechawar","given":"N."},{"family":"Turecki","given":"G."},{"family":"Zhang","given":"B."},{"family":"Shen","given":"L."},{"family":"Nestler","given":"E. J."}],"issued":{"date-parts":[["2017"]]}}}],"schema":"https://github.com/citation-style-language/schema/raw/master/csl-citation.json"} </w:instrText>
      </w:r>
      <w:r>
        <w:fldChar w:fldCharType="separate"/>
      </w:r>
      <w:r w:rsidR="003410F7">
        <w:rPr/>
        <w:t>(19)</w:t>
      </w:r>
      <w:r>
        <w:fldChar w:fldCharType="end"/>
      </w:r>
      <w:r w:rsidR="003410F7">
        <w:rPr/>
        <w:t>.</w:t>
      </w:r>
    </w:p>
    <w:p w:rsidR="003410F7" w:rsidP="003410F7" w:rsidRDefault="003410F7" w14:paraId="2C5D452E" w14:textId="77777777">
      <w:pPr>
        <w:spacing w:line="360" w:lineRule="auto"/>
      </w:pPr>
    </w:p>
    <w:p w:rsidRPr="00D67BC0" w:rsidR="003410F7" w:rsidP="003410F7" w:rsidRDefault="003410F7" w14:paraId="695698C3" w14:textId="77777777">
      <w:pPr>
        <w:spacing w:line="360" w:lineRule="auto"/>
        <w:rPr>
          <w:b/>
          <w:bCs/>
        </w:rPr>
      </w:pPr>
      <w:r w:rsidRPr="00D67BC0">
        <w:rPr>
          <w:b/>
          <w:bCs/>
        </w:rPr>
        <w:t>Rank-Rank hypergeometric overlap (RRHO)</w:t>
      </w:r>
    </w:p>
    <w:p w:rsidRPr="00B258B1" w:rsidR="003410F7" w:rsidP="003410F7" w:rsidRDefault="003410F7" w14:paraId="3A2F7025" w14:textId="77777777">
      <w:pPr>
        <w:spacing w:line="360" w:lineRule="auto"/>
      </w:pPr>
      <w:r w:rsidRPr="00B258B1">
        <w:t>Full threshold-free differential expression lists were ranked by the −log10(</w:t>
      </w:r>
      <w:r w:rsidRPr="00B258B1">
        <w:rPr>
          <w:i/>
          <w:iCs/>
        </w:rPr>
        <w:t>p</w:t>
      </w:r>
      <w:r w:rsidRPr="00B258B1">
        <w:t xml:space="preserve">-value) multiplied by the sign of the fold change from the </w:t>
      </w:r>
      <w:r>
        <w:t>DeSeq2</w:t>
      </w:r>
      <w:r w:rsidRPr="00B258B1">
        <w:t xml:space="preserve"> analysis, filtered to all genes with a mean base expression of &gt;2 </w:t>
      </w:r>
      <w:r w:rsidRPr="00B55835">
        <w:t xml:space="preserve">Reads Per Kilobase of transcript, per </w:t>
      </w:r>
      <w:r>
        <w:t>m</w:t>
      </w:r>
      <w:r w:rsidRPr="00B55835">
        <w:t>illion mapped reads</w:t>
      </w:r>
      <w:r>
        <w:t xml:space="preserve"> (</w:t>
      </w:r>
      <w:r w:rsidRPr="00B258B1">
        <w:t>RPKM</w:t>
      </w:r>
      <w:r>
        <w:t>)</w:t>
      </w:r>
      <w:r w:rsidRPr="00B258B1">
        <w:t xml:space="preserve"> to avoid low-expression artifacts. RRHO was used to evaluate the overlap of differential expression lists</w:t>
      </w:r>
      <w:r>
        <w:t xml:space="preserve"> (an uncorrected p&lt;0.05 and a </w:t>
      </w:r>
      <w:proofErr w:type="spellStart"/>
      <w:r>
        <w:t>logFC</w:t>
      </w:r>
      <w:proofErr w:type="spellEnd"/>
      <w:r>
        <w:t xml:space="preserve"> &gt; |1.15|) </w:t>
      </w:r>
      <w:r w:rsidRPr="00B258B1">
        <w:t>between stress comparisons</w:t>
      </w:r>
      <w:r>
        <w:t xml:space="preserve"> </w:t>
      </w:r>
      <w:r w:rsidRPr="00B258B1">
        <w:t xml:space="preserve">RRHO difference maps were produced for pairs of RRHO </w:t>
      </w:r>
      <w:r>
        <w:t>b</w:t>
      </w:r>
      <w:r w:rsidRPr="00B258B1">
        <w:t>y</w:t>
      </w:r>
      <w:r>
        <w:t xml:space="preserve"> </w:t>
      </w:r>
      <w:r w:rsidRPr="00B258B1">
        <w:t xml:space="preserve">calculating for each pixel the normal approximation of difference in log odds ratio and standard error of overlap between each matched comparison. This </w:t>
      </w:r>
      <w:r w:rsidRPr="00B258B1">
        <w:rPr>
          <w:i/>
          <w:iCs/>
        </w:rPr>
        <w:t>Z</w:t>
      </w:r>
      <w:r w:rsidRPr="00B258B1">
        <w:t xml:space="preserve"> score was then converted to a </w:t>
      </w:r>
      <w:r w:rsidRPr="00B258B1">
        <w:rPr>
          <w:i/>
          <w:iCs/>
        </w:rPr>
        <w:t>P</w:t>
      </w:r>
      <w:r w:rsidRPr="00B258B1">
        <w:t>-value and corrected for multiple comparisons across pixels</w:t>
      </w:r>
      <w:r>
        <w:fldChar w:fldCharType="begin"/>
      </w:r>
      <w:r>
        <w:instrText xml:space="preserve"> ADDIN ZOTERO_ITEM CSL_CITATION {"citationID":"MUGhAutL","properties":{"formattedCitation":"(33)","plainCitation":"(33)","noteIndex":0},"citationItems":[{"id":"Pz1x8QCL/eErSfYgk","uris":["http://zotero.org/users/5519715/items/TKDTAS8Y"],"itemData":{"id":18636,"type":"article-journal","abstract":"Recent advances in large-scale gene expression profiling necessitate concurrent development of biostatistical approaches to reveal meaningful biological relationships. Most analyses rely on significance thresholds for identifying differentially expressed genes. We use an approach to compare gene expression datasets using 'threshold-free' comparisons. Significance cut-offs to identify genes shared between datasets may be too stringent and may miss concordant patterns of gene expression with potential biological relevance. A threshold-free approach gaining popularity in several research areas, including neuroscience, is Rank-Rank Hypergeometric Overlap (RRHO). Genes are ranked by their p-value and effect size direction, and ranked lists are compared to identify significantly overlapping genes across a continuous significance gradient rather than at a single arbitrary cut-off. We have updated the previous RRHO analysis by accurately detecting overlap of genes changed in the same and opposite directions between two datasets. Here, we use simulated and real data to show the drawbacks of the previous algorithm as well as the utility of our new algorithm. For example, we show the power of detecting discordant transcriptional patterns in the postmortem brain of subjects with psychiatric disorders. The new R package, RRHO2, offers a new, more intuitive visualization of concordant and discordant gene overlap.","container-title":"Scientific Reports","DOI":"10.1038/s41598-018-27903-2","ISSN":"2045-2322","issue":"1","journalAbbreviation":"Sci Rep","language":"eng","note":"PMID: 29942049\nPMCID: PMC6018631","page":"9588","source":"PubMed","title":"Improved identification of concordant and discordant gene expression signatures using an updated rank-rank hypergeometric overlap approach","volume":"8","author":[{"family":"Cahill","given":"Kelly M."},{"family":"Huo","given":"Zhiguang"},{"family":"Tseng","given":"George C."},{"family":"Logan","given":"Ryan W."},{"family":"Seney","given":"Marianne L."}],"issued":{"date-parts":[["2018"]],"season":"25"}}}],"schema":"https://github.com/citation-style-language/schema/raw/master/csl-citation.json"} </w:instrText>
      </w:r>
      <w:r>
        <w:fldChar w:fldCharType="separate"/>
      </w:r>
      <w:r w:rsidRPr="00285BCA">
        <w:t>(33)</w:t>
      </w:r>
      <w:r>
        <w:fldChar w:fldCharType="end"/>
      </w:r>
      <w:r w:rsidRPr="00B258B1">
        <w:t>.</w:t>
      </w:r>
    </w:p>
    <w:p w:rsidRPr="00316541" w:rsidR="003410F7" w:rsidP="003410F7" w:rsidRDefault="003410F7" w14:paraId="48EE0638" w14:textId="77777777">
      <w:pPr>
        <w:spacing w:line="360" w:lineRule="auto"/>
      </w:pPr>
    </w:p>
    <w:p w:rsidRPr="00316541" w:rsidR="003410F7" w:rsidP="003410F7" w:rsidRDefault="003410F7" w14:paraId="6E7176D2" w14:textId="77777777">
      <w:pPr>
        <w:spacing w:line="360" w:lineRule="auto"/>
        <w:rPr>
          <w:b/>
          <w:bCs/>
        </w:rPr>
      </w:pPr>
      <w:r w:rsidRPr="007D7AFB">
        <w:rPr>
          <w:b/>
          <w:bCs/>
          <w:i/>
        </w:rPr>
        <w:t>In-situ</w:t>
      </w:r>
      <w:r w:rsidRPr="00316541">
        <w:rPr>
          <w:b/>
          <w:bCs/>
        </w:rPr>
        <w:t xml:space="preserve"> hybridization</w:t>
      </w:r>
    </w:p>
    <w:p w:rsidRPr="00920201" w:rsidR="003410F7" w:rsidP="003410F7" w:rsidRDefault="003410F7" w14:paraId="11E84663" w14:textId="77777777">
      <w:pPr>
        <w:spacing w:line="360" w:lineRule="auto"/>
      </w:pPr>
      <w:r w:rsidRPr="00920201">
        <w:t>In-situ hybridization was performed as previously described</w:t>
      </w:r>
      <w:r>
        <w:fldChar w:fldCharType="begin"/>
      </w:r>
      <w:r>
        <w:instrText xml:space="preserve"> ADDIN ZOTERO_ITEM CSL_CITATION {"citationID":"ByAppw0e","properties":{"formattedCitation":"(34)","plainCitation":"(34)","noteIndex":0},"citationItems":[{"id":"Pz1x8QCL/IJGBoBWZ","uris":["http://zotero.org/users/5519715/items/Y9F5QIFV"],"itemData":{"id":18639,"type":"article-journal","abstract":"Masculinization of the altricial rodent brain is driven by estrogen signaling during a perinatal critical period. Genetic deletion of estrogen receptor alpha (Esr1/ERα) results in altered hypothalamic-pituitary-gonadal (HPG) axis signaling and a dramatic reduction of male sexual and territorial behaviors. However, the role of ERα in masculinizing distinct classes of neurons remains unexplored. We deleted ERα in excitatory or inhibitory neurons using either a Vglut2 or Vgat driver and assessed male behaviors. We find that Vglut2-Cre;Esr1lox/lox mutant males lack ERα in the ventrolateral region of the ventromedial hypothalamus (VMHvl) and posterior ventral portion of the medial amygdala (MePV). These mutants recapitulate the increased serum testosterone levels seen with constitutive ERα deletion, but have none of the behavioral deficits. In contrast, Vgat-Cre;Esr1lox/lox males with substantial ERα deletion in inhibitory neurons, including those of the principal nucleus of the bed nucleus of the stria terminalis (BNSTpr), posterior dorsal MeA (MePD), and medial preoptic area (MPOA) have normal testosterone levels, but display alterations in mating and territorial behaviors. These mutants also show dysmasculinized expression of androgen receptor (AR) and estrogen receptor beta (Esr2). Our results demonstrate that ERα masculinizes GABAergic neurons that gate the display of male-typical behaviors.","container-title":"Hormones and Behavior","DOI":"10.1016/j.yhbeh.2017.07.001","ISSN":"0018-506X","journalAbbreviation":"Hormones and Behavior","language":"en","page":"3-12","source":"ScienceDirect","title":"Estrogen receptor alpha is required in GABAergic, but not glutamatergic, neurons to masculinize behavior","volume":"95","author":[{"family":"Wu","given":"Melody V."},{"family":"Tollkuhn","given":"Jessica"}],"issued":{"date-parts":[["2017",9,1]]}}}],"schema":"https://github.com/citation-style-language/schema/raw/master/csl-citation.json"} </w:instrText>
      </w:r>
      <w:r>
        <w:fldChar w:fldCharType="separate"/>
      </w:r>
      <w:r w:rsidRPr="00285BCA">
        <w:t>(34)</w:t>
      </w:r>
      <w:r>
        <w:fldChar w:fldCharType="end"/>
      </w:r>
      <w:r>
        <w:t>.</w:t>
      </w:r>
      <w:r w:rsidRPr="00920201">
        <w:t xml:space="preserve"> Briefly, brains were dissected from paraformaldehyde-perfused animals, postfixed, and cryoprotected in 30% sucrose before embedding in Tissue-Tek OCT (Sakura </w:t>
      </w:r>
      <w:proofErr w:type="spellStart"/>
      <w:r w:rsidRPr="00920201">
        <w:t>Finetek</w:t>
      </w:r>
      <w:proofErr w:type="spellEnd"/>
      <w:r w:rsidRPr="00920201">
        <w:t xml:space="preserve">). Brains were coronally </w:t>
      </w:r>
      <w:proofErr w:type="spellStart"/>
      <w:r w:rsidRPr="00920201">
        <w:t>cryosectioned</w:t>
      </w:r>
      <w:proofErr w:type="spellEnd"/>
      <w:r w:rsidRPr="00920201">
        <w:t xml:space="preserve"> at 60um and mounted on slides. Sections were subsequently fixed, treated with proteinase K, acetylated, permeabilized, and equilibrated in hybridization solution. A riboprobe (0.3ug/mL) directed against </w:t>
      </w:r>
      <w:r w:rsidRPr="00E5299D">
        <w:rPr>
          <w:i/>
          <w:iCs/>
        </w:rPr>
        <w:t>Rgs2</w:t>
      </w:r>
      <w:r w:rsidRPr="00920201">
        <w:t xml:space="preserve"> corresponding to bases 74-550 of cDNA sequence XM_028884620.1 was hybridized overnight at 65</w:t>
      </w:r>
      <w:r w:rsidRPr="00663C3D">
        <w:t>°C</w:t>
      </w:r>
      <w:r w:rsidRPr="00920201">
        <w:t xml:space="preserve">. Slides were then washed in high-stringency buffers, incubated with alkaline phosphatase-conjugated sheep anti-digoxigenin primary antibody (1:1000; Roche) overnight at 4°C, then developed in staining solution containing nitro blue tetrazolium and 5-bromo-4-chloro-3-indolyl-phosphate (Roche) at 37°C for 24 hrs. Slides were subsequently washed, fixed in 4% PFA, and </w:t>
      </w:r>
      <w:proofErr w:type="spellStart"/>
      <w:r w:rsidRPr="00920201">
        <w:t>coverslipped</w:t>
      </w:r>
      <w:proofErr w:type="spellEnd"/>
      <w:r w:rsidRPr="00920201">
        <w:t>.</w:t>
      </w:r>
    </w:p>
    <w:p w:rsidRPr="00316541" w:rsidR="003410F7" w:rsidP="003410F7" w:rsidRDefault="003410F7" w14:paraId="16E0ED41" w14:textId="77777777">
      <w:pPr>
        <w:spacing w:line="360" w:lineRule="auto"/>
      </w:pPr>
    </w:p>
    <w:p w:rsidRPr="00316541" w:rsidR="003410F7" w:rsidP="003410F7" w:rsidRDefault="003410F7" w14:paraId="4DFA8D4F" w14:textId="77777777">
      <w:pPr>
        <w:spacing w:line="360" w:lineRule="auto"/>
        <w:rPr>
          <w:b/>
          <w:bCs/>
        </w:rPr>
      </w:pPr>
      <w:r w:rsidRPr="00316541">
        <w:rPr>
          <w:b/>
          <w:bCs/>
        </w:rPr>
        <w:t>Western blots</w:t>
      </w:r>
    </w:p>
    <w:p w:rsidRPr="00316541" w:rsidR="003410F7" w:rsidP="649222E4" w:rsidRDefault="003410F7" w14:paraId="200C0078" w14:textId="6B4467EC">
      <w:pPr>
        <w:pStyle w:val="Normal"/>
        <w:spacing w:line="360" w:lineRule="auto"/>
      </w:pPr>
      <w:r w:rsidR="003410F7">
        <w:rPr/>
        <w:t xml:space="preserve">Punch samples </w:t>
      </w:r>
      <w:r w:rsidR="003410F7">
        <w:rPr/>
        <w:t xml:space="preserve">from the </w:t>
      </w:r>
      <w:proofErr w:type="spellStart"/>
      <w:r w:rsidR="003410F7">
        <w:rPr/>
        <w:t>NAc</w:t>
      </w:r>
      <w:proofErr w:type="spellEnd"/>
      <w:r w:rsidR="003410F7">
        <w:rPr/>
        <w:t xml:space="preserve"> </w:t>
      </w:r>
      <w:r w:rsidR="003410F7">
        <w:rPr/>
        <w:t>(n = 4–5 per group)</w:t>
      </w:r>
      <w:r w:rsidR="649222E4">
        <w:rPr/>
        <w:t xml:space="preserve"> </w:t>
      </w:r>
      <w:r w:rsidR="003410F7">
        <w:rPr/>
        <w:t>were homogenized in ice cold buffer (7.4 pH, 20% glycerol, 0.4 M NaCl, 20 mM HEPES, 5 mM MgCl</w:t>
      </w:r>
      <w:r w:rsidRPr="649222E4" w:rsidR="003410F7">
        <w:rPr>
          <w:vertAlign w:val="subscript"/>
        </w:rPr>
        <w:t>2</w:t>
      </w:r>
      <w:r w:rsidR="003410F7">
        <w:rPr/>
        <w:t>, 0.5 mM EDTA in H</w:t>
      </w:r>
      <w:r w:rsidRPr="649222E4" w:rsidR="003410F7">
        <w:rPr>
          <w:vertAlign w:val="subscript"/>
        </w:rPr>
        <w:t>2</w:t>
      </w:r>
      <w:r w:rsidR="003410F7">
        <w:rPr/>
        <w:t xml:space="preserve">O) with protease inhibitor (1% PMSF in EtOH). </w:t>
      </w:r>
      <w:proofErr w:type="spellStart"/>
      <w:r w:rsidR="003410F7">
        <w:rPr/>
        <w:t>Laemmli</w:t>
      </w:r>
      <w:proofErr w:type="spellEnd"/>
      <w:r w:rsidR="003410F7">
        <w:rPr/>
        <w:t xml:space="preserve"> buffer (Sigma, St. Louis, MO) was added to the homogenate at a 1:1 dilution </w:t>
      </w:r>
      <w:r w:rsidR="003410F7">
        <w:rPr/>
        <w:t xml:space="preserve">and samples were placed on a shaker at 4°C for 1 h. Proteins were denatured at 98°C for 5 min, chilled on ice, and separated with gel electrophoresis (15% bis-acrylamide resolving gel). Protein was transferred to </w:t>
      </w:r>
      <w:proofErr w:type="spellStart"/>
      <w:r w:rsidR="003410F7">
        <w:rPr/>
        <w:t>polyvinylidine</w:t>
      </w:r>
      <w:proofErr w:type="spellEnd"/>
      <w:r w:rsidR="003410F7">
        <w:rPr/>
        <w:t xml:space="preserve"> fluoride (PVDF) membranes (Bio-Rad, Hercules, CA), rinsed, and blocked with 5% skim milk in 0.1%Triton-X with tris-buffered saline (TBST). Membranes were incubated overnight in </w:t>
      </w:r>
      <w:r w:rsidR="003410F7">
        <w:rPr/>
        <w:t>primary rabbit</w:t>
      </w:r>
      <w:r w:rsidR="003410F7">
        <w:rPr/>
        <w:t xml:space="preserve"> anti-</w:t>
      </w:r>
      <w:r w:rsidR="003410F7">
        <w:rPr/>
        <w:t>RGS2</w:t>
      </w:r>
      <w:r w:rsidR="003410F7">
        <w:rPr/>
        <w:t xml:space="preserve"> (</w:t>
      </w:r>
      <w:r w:rsidR="003410F7">
        <w:rPr/>
        <w:t xml:space="preserve">Abcam, Boston, MA; </w:t>
      </w:r>
      <w:r w:rsidR="003410F7">
        <w:rPr/>
        <w:t>ab155762</w:t>
      </w:r>
      <w:r w:rsidR="003410F7">
        <w:rPr/>
        <w:t>)</w:t>
      </w:r>
      <w:r w:rsidR="003410F7">
        <w:rPr/>
        <w:t xml:space="preserve"> 1:</w:t>
      </w:r>
      <w:r w:rsidR="003410F7">
        <w:rPr/>
        <w:t xml:space="preserve">1000 at 4°C. Antibody specificity was determined by use of samples of NAc from </w:t>
      </w:r>
      <w:r w:rsidRPr="649222E4" w:rsidR="003410F7">
        <w:rPr>
          <w:i w:val="1"/>
          <w:iCs w:val="1"/>
        </w:rPr>
        <w:t xml:space="preserve">Rgs2 </w:t>
      </w:r>
      <w:r w:rsidR="003410F7">
        <w:rPr/>
        <w:t>knockout mice (</w:t>
      </w:r>
      <w:r w:rsidR="003410F7">
        <w:rPr/>
        <w:t>Supplemental</w:t>
      </w:r>
      <w:r w:rsidR="003410F7">
        <w:rPr/>
        <w:t xml:space="preserve"> Fig. 1). Membranes</w:t>
      </w:r>
      <w:r w:rsidR="003410F7">
        <w:rPr/>
        <w:t xml:space="preserve"> were then incubated for 1 h in peroxidase-conjugated </w:t>
      </w:r>
      <w:r w:rsidR="003410F7">
        <w:rPr/>
        <w:t xml:space="preserve">anti-rabbit secondary antibody </w:t>
      </w:r>
      <w:r w:rsidR="003410F7">
        <w:rPr/>
        <w:t>(Vector, Burlingame, CA) diluted 1:</w:t>
      </w:r>
      <w:r w:rsidR="003410F7">
        <w:rPr/>
        <w:t>1</w:t>
      </w:r>
      <w:r w:rsidR="003410F7">
        <w:rPr/>
        <w:t>000 in TBST</w:t>
      </w:r>
      <w:r w:rsidR="003410F7">
        <w:rPr/>
        <w:t xml:space="preserve"> in 5% skim milk.</w:t>
      </w:r>
      <w:r w:rsidR="003410F7">
        <w:rPr/>
        <w:t xml:space="preserve"> Following TBST washes, developing solution was applied (Bio-Rad), and the blot was imaged on a Bio-Rad </w:t>
      </w:r>
      <w:proofErr w:type="spellStart"/>
      <w:r w:rsidR="003410F7">
        <w:rPr/>
        <w:t>ChemiDoc</w:t>
      </w:r>
      <w:proofErr w:type="spellEnd"/>
      <w:r w:rsidR="003410F7">
        <w:rPr/>
        <w:t xml:space="preserve">. We quantified the mature form of the </w:t>
      </w:r>
      <w:r w:rsidR="003410F7">
        <w:rPr/>
        <w:t>RGS2</w:t>
      </w:r>
      <w:r w:rsidR="003410F7">
        <w:rPr/>
        <w:t xml:space="preserve"> protein at ~</w:t>
      </w:r>
      <w:r w:rsidR="003410F7">
        <w:rPr/>
        <w:t>26</w:t>
      </w:r>
      <w:r w:rsidR="003410F7">
        <w:rPr/>
        <w:t xml:space="preserve"> </w:t>
      </w:r>
      <w:proofErr w:type="spellStart"/>
      <w:r w:rsidR="003410F7">
        <w:rPr/>
        <w:t>kDa</w:t>
      </w:r>
      <w:proofErr w:type="spellEnd"/>
      <w:r w:rsidR="003410F7">
        <w:rPr/>
        <w:t>. B</w:t>
      </w:r>
      <w:r w:rsidR="003410F7">
        <w:rPr/>
        <w:t>lots were probed for β-</w:t>
      </w:r>
      <w:proofErr w:type="gramStart"/>
      <w:r w:rsidR="003410F7">
        <w:rPr/>
        <w:t>actin</w:t>
      </w:r>
      <w:proofErr w:type="gramEnd"/>
      <w:r w:rsidR="003410F7">
        <w:rPr/>
        <w:t xml:space="preserve"> as a loading control (Cell Signaling, Danvers, MA, 1:</w:t>
      </w:r>
      <w:r w:rsidR="003410F7">
        <w:rPr/>
        <w:t>1</w:t>
      </w:r>
      <w:r w:rsidR="003410F7">
        <w:rPr/>
        <w:t xml:space="preserve">000), and </w:t>
      </w:r>
      <w:r w:rsidR="003410F7">
        <w:rPr/>
        <w:t>RGS2</w:t>
      </w:r>
      <w:r w:rsidR="003410F7">
        <w:rPr/>
        <w:t xml:space="preserve"> protein bands were normalized to their respective β</w:t>
      </w:r>
      <w:r w:rsidR="003410F7">
        <w:rPr/>
        <w:t>-</w:t>
      </w:r>
      <w:r w:rsidR="003410F7">
        <w:rPr/>
        <w:t>actin controls.</w:t>
      </w:r>
      <w:r w:rsidR="003410F7">
        <w:rPr/>
        <w:t xml:space="preserve"> RGS2</w:t>
      </w:r>
      <w:r w:rsidR="003410F7">
        <w:rPr/>
        <w:t>/</w:t>
      </w:r>
      <w:r w:rsidR="003410F7">
        <w:rPr/>
        <w:t xml:space="preserve"> </w:t>
      </w:r>
      <w:r w:rsidR="003410F7">
        <w:rPr/>
        <w:t>β</w:t>
      </w:r>
      <w:r w:rsidR="003410F7">
        <w:rPr/>
        <w:t>-</w:t>
      </w:r>
      <w:r w:rsidR="003410F7">
        <w:rPr/>
        <w:t xml:space="preserve">actin ratios were further normalized to control mice on each blot. Levels of protein are displayed </w:t>
      </w:r>
      <w:r w:rsidR="003410F7">
        <w:rPr/>
        <w:t>as the relative</w:t>
      </w:r>
      <w:r w:rsidR="003410F7">
        <w:rPr/>
        <w:t xml:space="preserve"> levels </w:t>
      </w:r>
      <w:r w:rsidR="003410F7">
        <w:rPr/>
        <w:t xml:space="preserve">of RGS2 </w:t>
      </w:r>
      <w:r w:rsidR="003410F7">
        <w:rPr/>
        <w:t>quantified from control</w:t>
      </w:r>
      <w:r w:rsidR="003410F7">
        <w:rPr/>
        <w:t xml:space="preserve"> females.</w:t>
      </w:r>
    </w:p>
    <w:p w:rsidRPr="00316541" w:rsidR="003410F7" w:rsidP="003410F7" w:rsidRDefault="003410F7" w14:paraId="077ABD3C" w14:textId="77777777">
      <w:pPr>
        <w:spacing w:line="360" w:lineRule="auto"/>
      </w:pPr>
    </w:p>
    <w:p w:rsidRPr="00316541" w:rsidR="003410F7" w:rsidP="003410F7" w:rsidRDefault="003410F7" w14:paraId="0ABA5EC6" w14:textId="77777777">
      <w:pPr>
        <w:spacing w:line="360" w:lineRule="auto"/>
        <w:rPr>
          <w:b/>
          <w:bCs/>
        </w:rPr>
      </w:pPr>
      <w:r>
        <w:rPr>
          <w:b/>
          <w:bCs/>
        </w:rPr>
        <w:t>Quantitative Real-Time P</w:t>
      </w:r>
      <w:r w:rsidRPr="00316541">
        <w:rPr>
          <w:b/>
          <w:bCs/>
        </w:rPr>
        <w:t>CR</w:t>
      </w:r>
    </w:p>
    <w:p w:rsidRPr="00316541" w:rsidR="003410F7" w:rsidP="003410F7" w:rsidRDefault="003410F7" w14:paraId="2AD27958" w14:textId="43CDE0A1">
      <w:pPr>
        <w:spacing w:line="360" w:lineRule="auto"/>
      </w:pPr>
      <w:r w:rsidRPr="003F0CD0">
        <w:t>RNA was extracted as above from NAc</w:t>
      </w:r>
      <w:r w:rsidRPr="00316541">
        <w:t xml:space="preserve"> </w:t>
      </w:r>
      <w:r w:rsidRPr="003F0CD0">
        <w:t>tissue punches from</w:t>
      </w:r>
      <w:r w:rsidRPr="00316541">
        <w:t xml:space="preserve"> </w:t>
      </w:r>
      <w:r w:rsidRPr="003F0CD0">
        <w:t xml:space="preserve">independent cohorts of </w:t>
      </w:r>
      <w:r w:rsidRPr="00316541">
        <w:t>SDS</w:t>
      </w:r>
      <w:r w:rsidRPr="003F0CD0">
        <w:t xml:space="preserve"> male and female mice (n = 5–8 per group) </w:t>
      </w:r>
      <w:r w:rsidRPr="00316541">
        <w:t>using a</w:t>
      </w:r>
      <w:r>
        <w:t xml:space="preserve">n </w:t>
      </w:r>
      <w:proofErr w:type="spellStart"/>
      <w:r>
        <w:t>RNAeasy</w:t>
      </w:r>
      <w:proofErr w:type="spellEnd"/>
      <w:r>
        <w:t xml:space="preserve"> micro kit (Qiagen, </w:t>
      </w:r>
      <w:r w:rsidRPr="001835BF">
        <w:t>74004</w:t>
      </w:r>
      <w:r>
        <w:t>)</w:t>
      </w:r>
      <w:r w:rsidRPr="00316541">
        <w:t xml:space="preserve"> </w:t>
      </w:r>
      <w:r w:rsidRPr="003F0CD0">
        <w:t>and</w:t>
      </w:r>
      <w:r w:rsidRPr="00316541">
        <w:t xml:space="preserve"> </w:t>
      </w:r>
      <w:r w:rsidRPr="003F0CD0">
        <w:t>converted to cDNA using</w:t>
      </w:r>
      <w:r>
        <w:t xml:space="preserve"> a</w:t>
      </w:r>
      <w:r w:rsidR="008B4A7C">
        <w:t>n</w:t>
      </w:r>
      <w:r>
        <w:t xml:space="preserve"> </w:t>
      </w:r>
      <w:proofErr w:type="spellStart"/>
      <w:r>
        <w:t>iScript</w:t>
      </w:r>
      <w:proofErr w:type="spellEnd"/>
      <w:r>
        <w:t xml:space="preserve"> cDNA synthesis </w:t>
      </w:r>
      <w:r w:rsidRPr="00AD196B">
        <w:t xml:space="preserve">kit (Bio-Rad; </w:t>
      </w:r>
      <w:r w:rsidRPr="005E7F8A">
        <w:rPr>
          <w:rStyle w:val="Strong"/>
        </w:rPr>
        <w:t>1708891</w:t>
      </w:r>
      <w:r w:rsidRPr="005E7F8A">
        <w:t xml:space="preserve">). </w:t>
      </w:r>
      <w:r w:rsidRPr="003F0CD0">
        <w:t>Primer</w:t>
      </w:r>
      <w:r w:rsidRPr="00316541">
        <w:t xml:space="preserve"> </w:t>
      </w:r>
      <w:r w:rsidRPr="003F0CD0">
        <w:t xml:space="preserve">efficiency and specificity were verified; sequences are given </w:t>
      </w:r>
      <w:r w:rsidRPr="00EE4232">
        <w:t xml:space="preserve">in </w:t>
      </w:r>
      <w:r>
        <w:t>Supplemental</w:t>
      </w:r>
      <w:r w:rsidRPr="00EE4232">
        <w:t xml:space="preserve"> Table 1. Real-time</w:t>
      </w:r>
      <w:r w:rsidRPr="003F0CD0">
        <w:t xml:space="preserve"> qPCR was performed using </w:t>
      </w:r>
      <w:proofErr w:type="spellStart"/>
      <w:r w:rsidRPr="003F0CD0">
        <w:t>SybrGreen</w:t>
      </w:r>
      <w:proofErr w:type="spellEnd"/>
      <w:r w:rsidRPr="003F0CD0">
        <w:t xml:space="preserve"> Fast</w:t>
      </w:r>
      <w:r w:rsidRPr="00316541">
        <w:t xml:space="preserve"> </w:t>
      </w:r>
      <w:r w:rsidRPr="003F0CD0">
        <w:t xml:space="preserve">master </w:t>
      </w:r>
      <w:r w:rsidRPr="001835BF">
        <w:t>mix (Applied</w:t>
      </w:r>
      <w:r>
        <w:t xml:space="preserve"> Biosystems) </w:t>
      </w:r>
      <w:r w:rsidRPr="003F0CD0">
        <w:t xml:space="preserve">and standard cycling conditions on a </w:t>
      </w:r>
      <w:proofErr w:type="spellStart"/>
      <w:r>
        <w:t>ViiA</w:t>
      </w:r>
      <w:proofErr w:type="spellEnd"/>
      <w:r>
        <w:t xml:space="preserve"> 7 Real-Time PCR system</w:t>
      </w:r>
      <w:r w:rsidRPr="003F0CD0">
        <w:t xml:space="preserve"> and analyzed by</w:t>
      </w:r>
      <w:r w:rsidRPr="00316541">
        <w:t xml:space="preserve"> </w:t>
      </w:r>
      <w:r w:rsidRPr="003F0CD0">
        <w:t xml:space="preserve">the 2−ΔΔCt method with </w:t>
      </w:r>
      <w:r w:rsidRPr="003F0CD0">
        <w:rPr>
          <w:i/>
          <w:iCs/>
        </w:rPr>
        <w:t>Hprt</w:t>
      </w:r>
      <w:r>
        <w:rPr>
          <w:i/>
          <w:iCs/>
        </w:rPr>
        <w:t>1</w:t>
      </w:r>
      <w:r w:rsidRPr="003F0CD0">
        <w:t xml:space="preserve"> as a </w:t>
      </w:r>
      <w:r>
        <w:t>reference</w:t>
      </w:r>
      <w:r w:rsidRPr="003F0CD0">
        <w:t xml:space="preserve"> gene. </w:t>
      </w:r>
    </w:p>
    <w:p w:rsidRPr="00316541" w:rsidR="003410F7" w:rsidP="003410F7" w:rsidRDefault="003410F7" w14:paraId="6785ED46" w14:textId="77777777">
      <w:pPr>
        <w:spacing w:line="360" w:lineRule="auto"/>
      </w:pPr>
    </w:p>
    <w:p w:rsidRPr="00316541" w:rsidR="003410F7" w:rsidP="003410F7" w:rsidRDefault="003410F7" w14:paraId="17EC7B23" w14:textId="77777777">
      <w:pPr>
        <w:spacing w:line="360" w:lineRule="auto"/>
        <w:rPr>
          <w:b/>
          <w:bCs/>
        </w:rPr>
      </w:pPr>
      <w:r w:rsidRPr="00316541">
        <w:rPr>
          <w:b/>
          <w:bCs/>
        </w:rPr>
        <w:t xml:space="preserve">Overexpression of </w:t>
      </w:r>
      <w:r w:rsidRPr="00697E06">
        <w:rPr>
          <w:b/>
          <w:bCs/>
          <w:i/>
          <w:iCs/>
        </w:rPr>
        <w:t xml:space="preserve">Rgs2 </w:t>
      </w:r>
      <w:r w:rsidRPr="00316541">
        <w:rPr>
          <w:b/>
          <w:bCs/>
        </w:rPr>
        <w:t>within the NAc by HSV</w:t>
      </w:r>
      <w:r>
        <w:rPr>
          <w:b/>
          <w:bCs/>
        </w:rPr>
        <w:t>-mediated gene transfer</w:t>
      </w:r>
      <w:r w:rsidRPr="00316541">
        <w:rPr>
          <w:b/>
          <w:bCs/>
        </w:rPr>
        <w:t>.</w:t>
      </w:r>
    </w:p>
    <w:p w:rsidR="003410F7" w:rsidP="003410F7" w:rsidRDefault="003410F7" w14:paraId="3FB89E32" w14:textId="61ED6A0A">
      <w:pPr>
        <w:spacing w:line="360" w:lineRule="auto"/>
      </w:pPr>
      <w:r>
        <w:t xml:space="preserve">To overexpress RGS2, we used a </w:t>
      </w:r>
      <w:proofErr w:type="spellStart"/>
      <w:r>
        <w:t>bicistronic</w:t>
      </w:r>
      <w:proofErr w:type="spellEnd"/>
      <w:r>
        <w:t xml:space="preserve"> p1005 herpes simplex virus (HSV) expressing GFP or GFP and </w:t>
      </w:r>
      <w:r>
        <w:rPr>
          <w:i/>
          <w:iCs/>
        </w:rPr>
        <w:t>Rgs2</w:t>
      </w:r>
      <w:r>
        <w:t xml:space="preserve"> (</w:t>
      </w:r>
      <w:proofErr w:type="spellStart"/>
      <w:r>
        <w:t>Origene</w:t>
      </w:r>
      <w:proofErr w:type="spellEnd"/>
      <w:r>
        <w:t>). In this system, GFP expression is driven by a cytomegalovirus (CMV) promoter, while the gene of interest is driven by the IE4/5 promoter</w:t>
      </w:r>
      <w:r>
        <w:fldChar w:fldCharType="begin"/>
      </w:r>
      <w:r>
        <w:instrText xml:space="preserve"> ADDIN ZOTERO_ITEM CSL_CITATION {"citationID":"mTnAzm27","properties":{"formattedCitation":"(35)","plainCitation":"(35)","noteIndex":0},"citationItems":[{"id":"Pz1x8QCL/6Syh8a7X","uris":["http://zotero.org/users/5519715/items/XC3EAAEG"],"itemData":{"id":18632,"type":"article-journal","abstract":"There is an enormous initiative to establish the genetic basis for disorders of brain function. Unfortunately, genetic intervention is not accomplished easily in the nervous system. One strategy is to engineer and deliver to neurons specialized viral vectors that carry a gene (or genes) of interest, thereby exploiting the natural ability of viruses to insert genetic material into cells. When delivered to brain cells, these vectors cause infected cells to increase the expression of the genes of interest. The ability to deliver genes into neurons in vitro and in vivo with herpes simplex virus (HSV) amplicon vectors has made it possible to carry out exactly these sorts of experiments. This technology has the potential to offer new insights into the etiology of a wide variety of neuropsychiatric disorders. We describe the use of HSV amplicon vectors to study Alzheimer disease, drug addiction, and depression, and discuss the considerations that enter into the use of these vectors both in vitro and in vivo. The HSV amplicon virus is a user-friendly vector for the delivery of genes into neurons that has come of age for the study of brain function.","container-title":"BioTechniques","DOI":"10.2144/05393PS01","ISSN":"0736-6205","issue":"3","journalAbbreviation":"BioTechniques","note":"publisher: Future Science","page":"381-391","source":"future-science.com (Atypon)","title":"Use of herpes virus amplicon vectors to study brain disorders","volume":"39","author":[{"family":"Neve","given":"Rachael L."},{"family":"Neve","given":"Kim A."},{"family":"Nestler","given":"Eric J."},{"family":"Carlezon","given":"William A."}],"issued":{"date-parts":[["2005",9,1]]}}}],"schema":"https://github.com/citation-style-language/schema/raw/master/csl-citation.json"} </w:instrText>
      </w:r>
      <w:r>
        <w:fldChar w:fldCharType="separate"/>
      </w:r>
      <w:r w:rsidRPr="00285BCA">
        <w:t>(35)</w:t>
      </w:r>
      <w:r>
        <w:fldChar w:fldCharType="end"/>
      </w:r>
      <w:r>
        <w:t>. Viral construction and surgery were carried out according to standardized methods</w:t>
      </w:r>
      <w:r>
        <w:fldChar w:fldCharType="begin"/>
      </w:r>
      <w:r>
        <w:instrText xml:space="preserve"> ADDIN ZOTERO_ITEM CSL_CITATION {"citationID":"GfL1nVdz","properties":{"formattedCitation":"(35,36)","plainCitation":"(35,36)","noteIndex":0},"citationItems":[{"id":"Pz1x8QCL/6Syh8a7X","uris":["http://zotero.org/users/5519715/items/XC3EAAEG"],"itemData":{"id":18632,"type":"article-journal","abstract":"There is an enormous initiative to establish the genetic basis for disorders of brain function. Unfortunately, genetic intervention is not accomplished easily in the nervous system. One strategy is to engineer and deliver to neurons specialized viral vectors that carry a gene (or genes) of interest, thereby exploiting the natural ability of viruses to insert genetic material into cells. When delivered to brain cells, these vectors cause infected cells to increase the expression of the genes of interest. The ability to deliver genes into neurons in vitro and in vivo with herpes simplex virus (HSV) amplicon vectors has made it possible to carry out exactly these sorts of experiments. This technology has the potential to offer new insights into the etiology of a wide variety of neuropsychiatric disorders. We describe the use of HSV amplicon vectors to study Alzheimer disease, drug addiction, and depression, and discuss the considerations that enter into the use of these vectors both in vitro and in vivo. The HSV amplicon virus is a user-friendly vector for the delivery of genes into neurons that has come of age for the study of brain function.","container-title":"BioTechniques","DOI":"10.2144/05393PS01","ISSN":"0736-6205","issue":"3","journalAbbreviation":"BioTechniques","note":"publisher: Future Science","page":"381-391","source":"future-science.com (Atypon)","title":"Use of herpes virus amplicon vectors to study brain disorders","volume":"39","author":[{"family":"Neve","given":"Rachael L."},{"family":"Neve","given":"Kim A."},{"family":"Nestler","given":"Eric J."},{"family":"Carlezon","given":"William A."}],"issued":{"date-parts":[["2005",9,1]]}}},{"id":"Pz1x8QCL/jayOqgc3","uris":["http://zotero.org/users/5519715/items/WRCWGDRH"],"itemData":{"id":18626,"type":"article-journal","container-title":"Science","DOI":"10.1126/science.aan4491","ISSN":"0036-8075, 1095-9203","issue":"6343","journalAbbreviation":"Science","language":"en","page":"1185-1188","source":"DOI.org (Crossref)","title":"Early life stress confers lifelong stress susceptibility in mice via ventral tegmental area OTX2","volume":"356","author":[{"family":"Peña","given":"Catherine J."},{"family":"Kronman","given":"Hope G."},{"family":"Walker","given":"Deena M."},{"family":"Cates","given":"Hannah M."},{"family":"Bagot","given":"Rosemary C."},{"family":"Purushothaman","given":"Immanuel"},{"family":"Issler","given":"Orna"},{"family":"Loh","given":"Yong-Hwee Eddie"},{"family":"Leong","given":"Tin"},{"family":"Kiraly","given":"Drew D."},{"family":"Goodman","given":"Emma"},{"family":"Neve","given":"Rachael L."},{"family":"Shen","given":"Li"},{"family":"Nestler","given":"Eric J."}],"issued":{"date-parts":[["2017",6,16]]}}}],"schema":"https://github.com/citation-style-language/schema/raw/master/csl-citation.json"} </w:instrText>
      </w:r>
      <w:r>
        <w:fldChar w:fldCharType="separate"/>
      </w:r>
      <w:r w:rsidRPr="00285BCA">
        <w:t>(35,36)</w:t>
      </w:r>
      <w:r>
        <w:fldChar w:fldCharType="end"/>
      </w:r>
      <w:r>
        <w:t>. One week following social defeat, stressed mice received one bilateral 0.6uL injection of either the RGS2 overexpression vector or vector containing GFP alone into the NAc core (</w:t>
      </w:r>
      <w:r w:rsidRPr="00316541">
        <w:t>A</w:t>
      </w:r>
      <w:r>
        <w:t>/</w:t>
      </w:r>
      <w:r w:rsidRPr="00316541">
        <w:t>P:</w:t>
      </w:r>
      <w:r>
        <w:t xml:space="preserve"> 0.84</w:t>
      </w:r>
      <w:r w:rsidRPr="00316541">
        <w:t>, M</w:t>
      </w:r>
      <w:r>
        <w:t>/</w:t>
      </w:r>
      <w:r w:rsidRPr="00316541">
        <w:t>L:</w:t>
      </w:r>
      <w:r w:rsidRPr="00180AB2">
        <w:t xml:space="preserve"> ±</w:t>
      </w:r>
      <w:r>
        <w:t>1.5</w:t>
      </w:r>
      <w:r w:rsidRPr="00316541">
        <w:t xml:space="preserve">, </w:t>
      </w:r>
      <w:r w:rsidRPr="00316541">
        <w:lastRenderedPageBreak/>
        <w:t>D</w:t>
      </w:r>
      <w:r>
        <w:t>/</w:t>
      </w:r>
      <w:r w:rsidRPr="00316541">
        <w:t>V:</w:t>
      </w:r>
      <w:r>
        <w:t xml:space="preserve"> 6.0; based on a California mouse brain atlas (brainmaps.org)). </w:t>
      </w:r>
      <w:proofErr w:type="gramStart"/>
      <w:r>
        <w:t>One week</w:t>
      </w:r>
      <w:proofErr w:type="gramEnd"/>
      <w:r>
        <w:t xml:space="preserve"> later mice were run through a sucrose anhedonia test followed by a social interaction test. To confirm that expression was limited to NAc, </w:t>
      </w:r>
      <w:r w:rsidRPr="001B2B38">
        <w:t xml:space="preserve">40 </w:t>
      </w:r>
      <w:proofErr w:type="spellStart"/>
      <w:r w:rsidRPr="001B2B38">
        <w:t>μm</w:t>
      </w:r>
      <w:proofErr w:type="spellEnd"/>
      <w:r w:rsidRPr="001B2B38">
        <w:t xml:space="preserve"> sections of the</w:t>
      </w:r>
      <w:r>
        <w:t xml:space="preserve"> NAc </w:t>
      </w:r>
      <w:r w:rsidRPr="001B2B38">
        <w:t>(</w:t>
      </w:r>
      <w:r>
        <w:t>4</w:t>
      </w:r>
      <w:r w:rsidRPr="001B2B38">
        <w:t xml:space="preserve"> slices per animal</w:t>
      </w:r>
      <w:r>
        <w:t xml:space="preserve">) </w:t>
      </w:r>
      <w:r w:rsidRPr="001B2B38">
        <w:t>were</w:t>
      </w:r>
      <w:r>
        <w:t xml:space="preserve"> imaged under fluorescent microscopy to visualize GFP with red (530/615) </w:t>
      </w:r>
      <w:proofErr w:type="spellStart"/>
      <w:r>
        <w:t>Neurotrace</w:t>
      </w:r>
      <w:proofErr w:type="spellEnd"/>
      <w:r>
        <w:t xml:space="preserve"> (</w:t>
      </w:r>
      <w:proofErr w:type="spellStart"/>
      <w:r>
        <w:t>ThermoFisher</w:t>
      </w:r>
      <w:proofErr w:type="spellEnd"/>
      <w:r>
        <w:t xml:space="preserve">) staining to confirm neural expression. RGS2 overexpression by viral gene transfer was confirmed via western </w:t>
      </w:r>
      <w:r w:rsidRPr="009D503F">
        <w:t>blot.</w:t>
      </w:r>
      <w:r>
        <w:t xml:space="preserve"> </w:t>
      </w:r>
    </w:p>
    <w:p w:rsidR="00582129" w:rsidRDefault="00582129" w14:paraId="6C09E67C" w14:textId="52DC0F9E">
      <w:pPr>
        <w:spacing w:after="160" w:line="259" w:lineRule="auto"/>
      </w:pPr>
      <w:r>
        <w:br w:type="page"/>
      </w:r>
    </w:p>
    <w:p w:rsidR="00FF6428" w:rsidP="00FF6428" w:rsidRDefault="00FF6428" w14:paraId="27D94832" w14:textId="77777777">
      <w:r w:rsidRPr="00DE3292">
        <w:lastRenderedPageBreak/>
        <w:t>Supplemental Figures</w:t>
      </w:r>
    </w:p>
    <w:p w:rsidR="00FF6428" w:rsidP="00FF6428" w:rsidRDefault="00FF6428" w14:paraId="55B37836" w14:textId="77777777"/>
    <w:p w:rsidR="00FF6428" w:rsidP="00FF6428" w:rsidRDefault="00FF6428" w14:paraId="6117857C" w14:textId="77777777">
      <w:r>
        <w:t xml:space="preserve">Supplemental Figure 1: Validation of RGS2 antibody. Western blot of protein samples from Mus musculus RGS2 knock-out (KO), Peromyscus californicus cerebellum, and wild-type M. musculus. RGS2 bands were approximately 24 </w:t>
      </w:r>
      <w:proofErr w:type="spellStart"/>
      <w:r>
        <w:t>kDa</w:t>
      </w:r>
      <w:proofErr w:type="spellEnd"/>
      <w:r>
        <w:t xml:space="preserve"> while corresponding </w:t>
      </w:r>
      <w:r w:rsidRPr="00405082">
        <w:rPr>
          <w:rFonts w:ascii="Symbol" w:hAnsi="Symbol"/>
        </w:rPr>
        <w:t></w:t>
      </w:r>
      <w:r>
        <w:t xml:space="preserve">-actin bands were approximately 42 </w:t>
      </w:r>
      <w:proofErr w:type="spellStart"/>
      <w:r>
        <w:t>kDA</w:t>
      </w:r>
      <w:proofErr w:type="spellEnd"/>
      <w:r>
        <w:t xml:space="preserve">. </w:t>
      </w:r>
    </w:p>
    <w:p w:rsidRPr="00DE3292" w:rsidR="00FF6428" w:rsidP="00FF6428" w:rsidRDefault="00FF6428" w14:paraId="5E68C607" w14:textId="77777777"/>
    <w:p w:rsidRPr="00DE3292" w:rsidR="00FF6428" w:rsidP="00FF6428" w:rsidRDefault="00FF6428" w14:paraId="7481EE87" w14:textId="77777777">
      <w:r>
        <w:rPr>
          <w:noProof/>
        </w:rPr>
        <w:drawing>
          <wp:inline distT="0" distB="0" distL="0" distR="0" wp14:anchorId="10E51E28" wp14:editId="40C29144">
            <wp:extent cx="2371344" cy="2218944"/>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71344" cy="2218944"/>
                    </a:xfrm>
                    <a:prstGeom prst="rect">
                      <a:avLst/>
                    </a:prstGeom>
                  </pic:spPr>
                </pic:pic>
              </a:graphicData>
            </a:graphic>
          </wp:inline>
        </w:drawing>
      </w:r>
    </w:p>
    <w:p w:rsidR="00FF6428" w:rsidP="00FF6428" w:rsidRDefault="00FF6428" w14:paraId="37A8B824" w14:textId="77777777"/>
    <w:p w:rsidR="00FF6428" w:rsidP="00FF6428" w:rsidRDefault="00FF6428" w14:paraId="5EAD03BC" w14:textId="77777777">
      <w:r>
        <w:br w:type="page"/>
      </w:r>
    </w:p>
    <w:p w:rsidRPr="00DE3292" w:rsidR="00FF6428" w:rsidP="00FF6428" w:rsidRDefault="00FF6428" w14:paraId="2E752827" w14:textId="77777777">
      <w:r>
        <w:lastRenderedPageBreak/>
        <w:t xml:space="preserve">Supplemental Figure 2: Rank-rank hypergeometric plot comparing male and female </w:t>
      </w:r>
      <w:r w:rsidRPr="0000457F">
        <w:rPr>
          <w:i/>
        </w:rPr>
        <w:t>P. californicus</w:t>
      </w:r>
      <w:r>
        <w:t xml:space="preserve"> RNAseq data from control and stressed animals.</w:t>
      </w:r>
    </w:p>
    <w:p w:rsidRPr="00DE3292" w:rsidR="00FF6428" w:rsidP="00FF6428" w:rsidRDefault="00FF6428" w14:paraId="5F922660" w14:textId="77777777">
      <w:r w:rsidRPr="00DE3292">
        <w:rPr>
          <w:noProof/>
        </w:rPr>
        <w:drawing>
          <wp:inline distT="0" distB="0" distL="0" distR="0" wp14:anchorId="034BA20B" wp14:editId="0794264A">
            <wp:extent cx="4108704" cy="3188208"/>
            <wp:effectExtent l="0" t="0" r="635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08704" cy="3188208"/>
                    </a:xfrm>
                    <a:prstGeom prst="rect">
                      <a:avLst/>
                    </a:prstGeom>
                  </pic:spPr>
                </pic:pic>
              </a:graphicData>
            </a:graphic>
          </wp:inline>
        </w:drawing>
      </w:r>
    </w:p>
    <w:p w:rsidRPr="00DE3292" w:rsidR="00FF6428" w:rsidP="00FF6428" w:rsidRDefault="00FF6428" w14:paraId="04D71249" w14:textId="77777777"/>
    <w:p w:rsidR="00FF6428" w:rsidP="00FF6428" w:rsidRDefault="00FF6428" w14:paraId="49E53317" w14:textId="77777777">
      <w:r>
        <w:br w:type="page"/>
      </w:r>
    </w:p>
    <w:p w:rsidRPr="00DE3292" w:rsidR="00FF6428" w:rsidP="00FF6428" w:rsidRDefault="00FF6428" w14:paraId="78E5D883" w14:textId="77777777">
      <w:r>
        <w:lastRenderedPageBreak/>
        <w:t xml:space="preserve">Supplemental Figure 3: Volcano plots for control versus stress comparisons for female and male </w:t>
      </w:r>
      <w:r w:rsidRPr="005D17D1">
        <w:rPr>
          <w:i/>
        </w:rPr>
        <w:t>P. californicus</w:t>
      </w:r>
      <w:r>
        <w:t xml:space="preserve"> RNAseq data.</w:t>
      </w:r>
    </w:p>
    <w:p w:rsidRPr="00DE3292" w:rsidR="00FF6428" w:rsidP="00FF6428" w:rsidRDefault="00FF6428" w14:paraId="24B00DA8" w14:textId="2292FD6C">
      <w:r>
        <w:rPr>
          <w:noProof/>
        </w:rPr>
        <w:drawing>
          <wp:inline distT="0" distB="0" distL="0" distR="0" wp14:anchorId="7C10DE97" wp14:editId="0578B154">
            <wp:extent cx="5943600" cy="32004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rsidR="00FF6428" w:rsidP="00FF6428" w:rsidRDefault="00FF6428" w14:paraId="1108A772" w14:textId="77777777">
      <w:r>
        <w:br w:type="page"/>
      </w:r>
    </w:p>
    <w:p w:rsidRPr="00DE3292" w:rsidR="00FF6428" w:rsidP="00FF6428" w:rsidRDefault="00FF6428" w14:paraId="140C89D9" w14:textId="77777777">
      <w:r>
        <w:lastRenderedPageBreak/>
        <w:t xml:space="preserve">Supplemental Figure 4: Rank-rank hypergeometric plots comparing female </w:t>
      </w:r>
      <w:r w:rsidRPr="0000457F">
        <w:rPr>
          <w:i/>
        </w:rPr>
        <w:t>P. californicus</w:t>
      </w:r>
      <w:r>
        <w:t xml:space="preserve"> nucleus accumbens (NAc) RNAseq data from females with female prefrontal cortex (PFC) RNAseq data (A) and female ventral tegmental area (VTA) RNAseq data (B).</w:t>
      </w:r>
    </w:p>
    <w:p w:rsidRPr="00DE3292" w:rsidR="00FF6428" w:rsidP="00FF6428" w:rsidRDefault="00FF6428" w14:paraId="4010FD9C" w14:textId="77777777"/>
    <w:p w:rsidRPr="00DE3292" w:rsidR="00FF6428" w:rsidP="00FF6428" w:rsidRDefault="00FF6428" w14:paraId="66DE10DA" w14:textId="77777777"/>
    <w:p w:rsidRPr="00DE3292" w:rsidR="00FF6428" w:rsidP="00FF6428" w:rsidRDefault="00FF6428" w14:paraId="70396A76" w14:textId="77777777"/>
    <w:p w:rsidRPr="00DE3292" w:rsidR="00FF6428" w:rsidP="00FF6428" w:rsidRDefault="00FF6428" w14:paraId="65B626F4" w14:textId="77777777">
      <w:r w:rsidRPr="00DE3292">
        <w:rPr>
          <w:noProof/>
        </w:rPr>
        <w:drawing>
          <wp:inline distT="0" distB="0" distL="0" distR="0" wp14:anchorId="1BFEBD90" wp14:editId="16BB0DCA">
            <wp:extent cx="5943600" cy="1358265"/>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58265"/>
                    </a:xfrm>
                    <a:prstGeom prst="rect">
                      <a:avLst/>
                    </a:prstGeom>
                  </pic:spPr>
                </pic:pic>
              </a:graphicData>
            </a:graphic>
          </wp:inline>
        </w:drawing>
      </w:r>
    </w:p>
    <w:p w:rsidR="00FF6428" w:rsidP="00FF6428" w:rsidRDefault="00FF6428" w14:paraId="180142AC" w14:textId="77777777">
      <w:r>
        <w:br w:type="page"/>
      </w:r>
    </w:p>
    <w:p w:rsidRPr="00DE3292" w:rsidR="00FF6428" w:rsidP="00FF6428" w:rsidRDefault="00FF6428" w14:paraId="036786C5" w14:textId="77777777">
      <w:r>
        <w:lastRenderedPageBreak/>
        <w:t xml:space="preserve">Supplemental Figure 5: There were no differences in the number of </w:t>
      </w:r>
      <w:r w:rsidRPr="005D17D1">
        <w:rPr>
          <w:i/>
        </w:rPr>
        <w:t>Rgs2</w:t>
      </w:r>
      <w:r>
        <w:t xml:space="preserve"> reads between control and stressed </w:t>
      </w:r>
      <w:r w:rsidRPr="005D17D1">
        <w:rPr>
          <w:i/>
        </w:rPr>
        <w:t>P. californicus</w:t>
      </w:r>
      <w:r>
        <w:t xml:space="preserve"> females in the VTA or PFC.</w:t>
      </w:r>
    </w:p>
    <w:p w:rsidRPr="00DE3292" w:rsidR="00FF6428" w:rsidP="00FF6428" w:rsidRDefault="00FF6428" w14:paraId="35A9F594" w14:textId="77777777">
      <w:r w:rsidRPr="00DE3292">
        <w:rPr>
          <w:noProof/>
        </w:rPr>
        <w:drawing>
          <wp:inline distT="0" distB="0" distL="0" distR="0" wp14:anchorId="210CB502" wp14:editId="7F88D129">
            <wp:extent cx="5943600" cy="2760980"/>
            <wp:effectExtent l="0" t="0" r="0" b="127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60980"/>
                    </a:xfrm>
                    <a:prstGeom prst="rect">
                      <a:avLst/>
                    </a:prstGeom>
                  </pic:spPr>
                </pic:pic>
              </a:graphicData>
            </a:graphic>
          </wp:inline>
        </w:drawing>
      </w:r>
    </w:p>
    <w:p w:rsidRPr="00DE3292" w:rsidR="00FF6428" w:rsidP="00FF6428" w:rsidRDefault="00FF6428" w14:paraId="543F0994" w14:textId="77777777">
      <w:r>
        <w:br w:type="page"/>
      </w:r>
    </w:p>
    <w:p w:rsidRPr="00DE3292" w:rsidR="00FF6428" w:rsidP="00FF6428" w:rsidRDefault="00FF6428" w14:paraId="115F524D" w14:textId="77777777">
      <w:r>
        <w:lastRenderedPageBreak/>
        <w:t>Supplemental Figure 6: Social defeat reduced social approach in female P. californicus but not males (A). There were no differences in approach to an empty cage during acclimation (B), time spent in the center during the open field (C), or total distance traveled in the open field (D). * p &lt; 0.05 vs control.</w:t>
      </w:r>
      <w:r w:rsidRPr="00DE3292">
        <w:rPr>
          <w:noProof/>
        </w:rPr>
        <w:drawing>
          <wp:inline distT="0" distB="0" distL="0" distR="0" wp14:anchorId="3ECCFE04" wp14:editId="5939BD7D">
            <wp:extent cx="5943600" cy="4284345"/>
            <wp:effectExtent l="0" t="0" r="0" b="190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84345"/>
                    </a:xfrm>
                    <a:prstGeom prst="rect">
                      <a:avLst/>
                    </a:prstGeom>
                  </pic:spPr>
                </pic:pic>
              </a:graphicData>
            </a:graphic>
          </wp:inline>
        </w:drawing>
      </w:r>
    </w:p>
    <w:p w:rsidR="00582129" w:rsidP="003410F7" w:rsidRDefault="00582129" w14:paraId="15F4DC40" w14:textId="6DB243C3">
      <w:pPr>
        <w:spacing w:line="360" w:lineRule="auto"/>
      </w:pPr>
    </w:p>
    <w:p w:rsidR="00D32C93" w:rsidRDefault="00D32C93" w14:paraId="6ADE78BD" w14:textId="65FEF483">
      <w:pPr>
        <w:spacing w:after="160" w:line="259" w:lineRule="auto"/>
      </w:pPr>
      <w:r>
        <w:br w:type="page"/>
      </w:r>
    </w:p>
    <w:p w:rsidR="00D32C93" w:rsidP="00D32C93" w:rsidRDefault="00D32C93" w14:paraId="6A900A92" w14:textId="77777777">
      <w:r>
        <w:lastRenderedPageBreak/>
        <w:t>Supplementary Table 1:</w:t>
      </w:r>
    </w:p>
    <w:p w:rsidR="00D32C93" w:rsidP="00D32C93" w:rsidRDefault="00D32C93" w14:paraId="32F27664" w14:textId="77777777">
      <w:r>
        <w:t>RT-qPCR Primer Sequences</w:t>
      </w:r>
    </w:p>
    <w:p w:rsidR="00D32C93" w:rsidP="00D32C93" w:rsidRDefault="00D32C93" w14:paraId="1AB4B957" w14:textId="77777777"/>
    <w:tbl>
      <w:tblPr>
        <w:tblStyle w:val="TableGrid"/>
        <w:tblW w:w="0" w:type="auto"/>
        <w:tblLook w:val="04A0" w:firstRow="1" w:lastRow="0" w:firstColumn="1" w:lastColumn="0" w:noHBand="0" w:noVBand="1"/>
      </w:tblPr>
      <w:tblGrid>
        <w:gridCol w:w="4675"/>
        <w:gridCol w:w="4675"/>
      </w:tblGrid>
      <w:tr w:rsidR="00D32C93" w:rsidTr="00BD4176" w14:paraId="6F78F66E" w14:textId="77777777">
        <w:tc>
          <w:tcPr>
            <w:tcW w:w="4675" w:type="dxa"/>
          </w:tcPr>
          <w:p w:rsidR="00D32C93" w:rsidP="00BD4176" w:rsidRDefault="00D32C93" w14:paraId="2236FE5F" w14:textId="77777777">
            <w:r w:rsidRPr="00E80FA4">
              <w:rPr>
                <w:i/>
                <w:iCs/>
              </w:rPr>
              <w:t>Hprt1</w:t>
            </w:r>
            <w:r>
              <w:t xml:space="preserve"> F: </w:t>
            </w:r>
            <w:r>
              <w:rPr>
                <w:rFonts w:ascii="AppleSystemUIFont" w:hAnsi="AppleSystemUIFont" w:cs="AppleSystemUIFont"/>
                <w:sz w:val="26"/>
                <w:szCs w:val="26"/>
              </w:rPr>
              <w:t>CCCAGCGTCGTGATTAGTGATG</w:t>
            </w:r>
          </w:p>
        </w:tc>
        <w:tc>
          <w:tcPr>
            <w:tcW w:w="4675" w:type="dxa"/>
          </w:tcPr>
          <w:p w:rsidR="00D32C93" w:rsidP="00BD4176" w:rsidRDefault="00D32C93" w14:paraId="32C94C18" w14:textId="77777777">
            <w:r w:rsidRPr="00E80FA4">
              <w:rPr>
                <w:i/>
                <w:iCs/>
              </w:rPr>
              <w:t>Hprt1</w:t>
            </w:r>
            <w:r>
              <w:t xml:space="preserve"> R: </w:t>
            </w:r>
            <w:r>
              <w:rPr>
                <w:rFonts w:ascii="AppleSystemUIFont" w:hAnsi="AppleSystemUIFont" w:cs="AppleSystemUIFont"/>
                <w:sz w:val="26"/>
                <w:szCs w:val="26"/>
              </w:rPr>
              <w:t>GTGATGGCCTCCCATCTCTTT</w:t>
            </w:r>
          </w:p>
        </w:tc>
      </w:tr>
      <w:tr w:rsidR="00D32C93" w:rsidTr="00BD4176" w14:paraId="24CA5B1B" w14:textId="77777777">
        <w:tc>
          <w:tcPr>
            <w:tcW w:w="4675" w:type="dxa"/>
          </w:tcPr>
          <w:p w:rsidR="00D32C93" w:rsidP="00BD4176" w:rsidRDefault="00D32C93" w14:paraId="0E92BF44" w14:textId="77777777">
            <w:r w:rsidRPr="00E80FA4">
              <w:rPr>
                <w:i/>
                <w:iCs/>
              </w:rPr>
              <w:t>Rgs2</w:t>
            </w:r>
            <w:r>
              <w:t xml:space="preserve"> F: </w:t>
            </w:r>
            <w:r>
              <w:rPr>
                <w:rFonts w:ascii="AppleSystemUIFont" w:hAnsi="AppleSystemUIFont" w:cs="AppleSystemUIFont"/>
                <w:sz w:val="26"/>
                <w:szCs w:val="26"/>
              </w:rPr>
              <w:t>TTGCAAAATTCCTCCACTCC</w:t>
            </w:r>
          </w:p>
        </w:tc>
        <w:tc>
          <w:tcPr>
            <w:tcW w:w="4675" w:type="dxa"/>
          </w:tcPr>
          <w:p w:rsidR="00D32C93" w:rsidP="00BD4176" w:rsidRDefault="00D32C93" w14:paraId="2EC05D5C" w14:textId="77777777">
            <w:r w:rsidRPr="00E80FA4">
              <w:rPr>
                <w:i/>
                <w:iCs/>
              </w:rPr>
              <w:t>Rgs2</w:t>
            </w:r>
            <w:r>
              <w:t xml:space="preserve"> R: </w:t>
            </w:r>
            <w:r>
              <w:rPr>
                <w:rFonts w:ascii="AppleSystemUIFont" w:hAnsi="AppleSystemUIFont" w:cs="AppleSystemUIFont"/>
                <w:sz w:val="26"/>
                <w:szCs w:val="26"/>
              </w:rPr>
              <w:t>CTGAACGCAGCAAGTCCATA</w:t>
            </w:r>
          </w:p>
        </w:tc>
      </w:tr>
    </w:tbl>
    <w:p w:rsidR="00D32C93" w:rsidP="00D32C93" w:rsidRDefault="00D32C93" w14:paraId="0215D5A2" w14:textId="77777777"/>
    <w:p w:rsidRPr="00316541" w:rsidR="00582129" w:rsidP="2AF58783" w:rsidRDefault="2AF58783" w14:paraId="680670FF" w14:textId="73E6BDF9">
      <w:pPr>
        <w:spacing w:line="360" w:lineRule="auto"/>
      </w:pPr>
      <w:r w:rsidRPr="2AF58783">
        <w:t xml:space="preserve">Supplementary Table </w:t>
      </w:r>
      <w:r w:rsidR="005B7286">
        <w:t>3</w:t>
      </w:r>
      <w:r w:rsidRPr="2AF58783">
        <w:t>:</w:t>
      </w:r>
    </w:p>
    <w:p w:rsidRPr="00316541" w:rsidR="00582129" w:rsidP="2AF58783" w:rsidRDefault="2AF58783" w14:paraId="56FC8528" w14:textId="6E7C845B">
      <w:pPr>
        <w:spacing w:line="360" w:lineRule="auto"/>
      </w:pPr>
      <w:r w:rsidRPr="2AF58783">
        <w:t xml:space="preserve">NAc transcripts affected by stress in both male and female </w:t>
      </w:r>
      <w:r w:rsidRPr="2AF58783">
        <w:rPr>
          <w:i/>
          <w:iCs/>
        </w:rPr>
        <w:t>Peromyscus californicus</w:t>
      </w:r>
    </w:p>
    <w:tbl>
      <w:tblPr>
        <w:tblStyle w:val="TableGrid"/>
        <w:tblW w:w="0" w:type="auto"/>
        <w:tblLayout w:type="fixed"/>
        <w:tblLook w:val="04A0" w:firstRow="1" w:lastRow="0" w:firstColumn="1" w:lastColumn="0" w:noHBand="0" w:noVBand="1"/>
      </w:tblPr>
      <w:tblGrid>
        <w:gridCol w:w="1425"/>
        <w:gridCol w:w="1725"/>
      </w:tblGrid>
      <w:tr w:rsidR="2AF58783" w:rsidTr="2AF58783" w14:paraId="009C3331" w14:textId="77777777">
        <w:trPr>
          <w:trHeight w:val="330"/>
        </w:trPr>
        <w:tc>
          <w:tcPr>
            <w:tcW w:w="1425" w:type="dxa"/>
          </w:tcPr>
          <w:p w:rsidR="2AF58783" w:rsidP="2AF58783" w:rsidRDefault="2AF58783" w14:paraId="24209FBA" w14:textId="24EC7086">
            <w:r w:rsidRPr="2AF58783">
              <w:t>Upregulated</w:t>
            </w:r>
          </w:p>
        </w:tc>
        <w:tc>
          <w:tcPr>
            <w:tcW w:w="1725" w:type="dxa"/>
          </w:tcPr>
          <w:p w:rsidR="2AF58783" w:rsidP="2AF58783" w:rsidRDefault="2AF58783" w14:paraId="2588AE2D" w14:textId="0D778533">
            <w:r w:rsidRPr="2AF58783">
              <w:t>Downregulated</w:t>
            </w:r>
          </w:p>
        </w:tc>
      </w:tr>
      <w:tr w:rsidR="2AF58783" w:rsidTr="2AF58783" w14:paraId="64D236C0" w14:textId="77777777">
        <w:trPr>
          <w:trHeight w:val="330"/>
        </w:trPr>
        <w:tc>
          <w:tcPr>
            <w:tcW w:w="1425" w:type="dxa"/>
          </w:tcPr>
          <w:p w:rsidR="2AF58783" w:rsidP="2AF58783" w:rsidRDefault="2AF58783" w14:paraId="72725BE3" w14:textId="50298948">
            <w:r w:rsidRPr="2AF58783">
              <w:t>ASB4</w:t>
            </w:r>
          </w:p>
        </w:tc>
        <w:tc>
          <w:tcPr>
            <w:tcW w:w="1725" w:type="dxa"/>
          </w:tcPr>
          <w:p w:rsidR="2AF58783" w:rsidP="2AF58783" w:rsidRDefault="2AF58783" w14:paraId="349AB9E1" w14:textId="67A73AA3">
            <w:r w:rsidRPr="2AF58783">
              <w:t>SlC25A1</w:t>
            </w:r>
          </w:p>
        </w:tc>
      </w:tr>
      <w:tr w:rsidR="2AF58783" w:rsidTr="2AF58783" w14:paraId="4CE6EA83" w14:textId="77777777">
        <w:trPr>
          <w:trHeight w:val="315"/>
        </w:trPr>
        <w:tc>
          <w:tcPr>
            <w:tcW w:w="1425" w:type="dxa"/>
          </w:tcPr>
          <w:p w:rsidR="2AF58783" w:rsidP="2AF58783" w:rsidRDefault="2AF58783" w14:paraId="4961C1B9" w14:textId="62157449">
            <w:r w:rsidRPr="2AF58783">
              <w:t>CDKL</w:t>
            </w:r>
          </w:p>
        </w:tc>
        <w:tc>
          <w:tcPr>
            <w:tcW w:w="1725" w:type="dxa"/>
          </w:tcPr>
          <w:p w:rsidR="2AF58783" w:rsidP="2AF58783" w:rsidRDefault="2AF58783" w14:paraId="2CC18E82" w14:textId="6F189572"/>
        </w:tc>
      </w:tr>
      <w:tr w:rsidR="2AF58783" w:rsidTr="2AF58783" w14:paraId="48C4B002" w14:textId="77777777">
        <w:trPr>
          <w:trHeight w:val="330"/>
        </w:trPr>
        <w:tc>
          <w:tcPr>
            <w:tcW w:w="1425" w:type="dxa"/>
          </w:tcPr>
          <w:p w:rsidR="2AF58783" w:rsidP="2AF58783" w:rsidRDefault="2AF58783" w14:paraId="3BBB4A83" w14:textId="1E8EF0B4">
            <w:r w:rsidRPr="2AF58783">
              <w:t>LSP1</w:t>
            </w:r>
          </w:p>
        </w:tc>
        <w:tc>
          <w:tcPr>
            <w:tcW w:w="1725" w:type="dxa"/>
          </w:tcPr>
          <w:p w:rsidR="2AF58783" w:rsidP="2AF58783" w:rsidRDefault="2AF58783" w14:paraId="5C2EEF54" w14:textId="165C632C"/>
        </w:tc>
      </w:tr>
      <w:tr w:rsidR="2AF58783" w:rsidTr="2AF58783" w14:paraId="493A8F4C" w14:textId="77777777">
        <w:trPr>
          <w:trHeight w:val="330"/>
        </w:trPr>
        <w:tc>
          <w:tcPr>
            <w:tcW w:w="1425" w:type="dxa"/>
          </w:tcPr>
          <w:p w:rsidR="2AF58783" w:rsidP="2AF58783" w:rsidRDefault="2AF58783" w14:paraId="5E172CBC" w14:textId="09000C5F">
            <w:r w:rsidRPr="2AF58783">
              <w:t>DAF</w:t>
            </w:r>
          </w:p>
        </w:tc>
        <w:tc>
          <w:tcPr>
            <w:tcW w:w="1725" w:type="dxa"/>
          </w:tcPr>
          <w:p w:rsidR="2AF58783" w:rsidP="2AF58783" w:rsidRDefault="2AF58783" w14:paraId="6FE863B9" w14:textId="09469DF9"/>
        </w:tc>
      </w:tr>
      <w:tr w:rsidR="2AF58783" w:rsidTr="2AF58783" w14:paraId="018D5D5B" w14:textId="77777777">
        <w:trPr>
          <w:trHeight w:val="330"/>
        </w:trPr>
        <w:tc>
          <w:tcPr>
            <w:tcW w:w="1425" w:type="dxa"/>
          </w:tcPr>
          <w:p w:rsidR="2AF58783" w:rsidP="2AF58783" w:rsidRDefault="2AF58783" w14:paraId="47719C67" w14:textId="31731E6E">
            <w:r w:rsidRPr="2AF58783">
              <w:t>CD55</w:t>
            </w:r>
          </w:p>
        </w:tc>
        <w:tc>
          <w:tcPr>
            <w:tcW w:w="1725" w:type="dxa"/>
          </w:tcPr>
          <w:p w:rsidR="2AF58783" w:rsidP="2AF58783" w:rsidRDefault="2AF58783" w14:paraId="1FF08506" w14:textId="3C2B1132"/>
        </w:tc>
      </w:tr>
      <w:tr w:rsidR="2AF58783" w:rsidTr="2AF58783" w14:paraId="13E22795" w14:textId="77777777">
        <w:trPr>
          <w:trHeight w:val="315"/>
        </w:trPr>
        <w:tc>
          <w:tcPr>
            <w:tcW w:w="1425" w:type="dxa"/>
          </w:tcPr>
          <w:p w:rsidR="2AF58783" w:rsidP="2AF58783" w:rsidRDefault="2AF58783" w14:paraId="20DAF7A7" w14:textId="274EDA77">
            <w:r w:rsidRPr="2AF58783">
              <w:t>KRAB</w:t>
            </w:r>
          </w:p>
        </w:tc>
        <w:tc>
          <w:tcPr>
            <w:tcW w:w="1725" w:type="dxa"/>
          </w:tcPr>
          <w:p w:rsidR="2AF58783" w:rsidP="2AF58783" w:rsidRDefault="2AF58783" w14:paraId="752C5EA4" w14:textId="5B9A64D1"/>
        </w:tc>
      </w:tr>
      <w:tr w:rsidR="2AF58783" w:rsidTr="2AF58783" w14:paraId="3DCC1F7D" w14:textId="77777777">
        <w:trPr>
          <w:trHeight w:val="330"/>
        </w:trPr>
        <w:tc>
          <w:tcPr>
            <w:tcW w:w="1425" w:type="dxa"/>
          </w:tcPr>
          <w:p w:rsidR="2AF58783" w:rsidP="2AF58783" w:rsidRDefault="2AF58783" w14:paraId="463CCBB4" w14:textId="7499CEBB">
            <w:r w:rsidRPr="2AF58783">
              <w:t>TSPAN26</w:t>
            </w:r>
          </w:p>
        </w:tc>
        <w:tc>
          <w:tcPr>
            <w:tcW w:w="1725" w:type="dxa"/>
          </w:tcPr>
          <w:p w:rsidR="2AF58783" w:rsidP="2AF58783" w:rsidRDefault="2AF58783" w14:paraId="15F66A90" w14:textId="08070FAF"/>
        </w:tc>
      </w:tr>
      <w:tr w:rsidR="2AF58783" w:rsidTr="2AF58783" w14:paraId="63E38AE4" w14:textId="77777777">
        <w:trPr>
          <w:trHeight w:val="330"/>
        </w:trPr>
        <w:tc>
          <w:tcPr>
            <w:tcW w:w="1425" w:type="dxa"/>
          </w:tcPr>
          <w:p w:rsidR="2AF58783" w:rsidP="2AF58783" w:rsidRDefault="2AF58783" w14:paraId="68D1F642" w14:textId="56FBECE6">
            <w:r w:rsidRPr="2AF58783">
              <w:t>TRADD</w:t>
            </w:r>
          </w:p>
        </w:tc>
        <w:tc>
          <w:tcPr>
            <w:tcW w:w="1725" w:type="dxa"/>
          </w:tcPr>
          <w:p w:rsidR="2AF58783" w:rsidP="2AF58783" w:rsidRDefault="2AF58783" w14:paraId="5B8921FD" w14:textId="14CD7178"/>
        </w:tc>
      </w:tr>
      <w:tr w:rsidR="2AF58783" w:rsidTr="2AF58783" w14:paraId="5EBDE811" w14:textId="77777777">
        <w:trPr>
          <w:trHeight w:val="330"/>
        </w:trPr>
        <w:tc>
          <w:tcPr>
            <w:tcW w:w="1425" w:type="dxa"/>
          </w:tcPr>
          <w:p w:rsidR="2AF58783" w:rsidP="2AF58783" w:rsidRDefault="2AF58783" w14:paraId="1A30860B" w14:textId="205CBCC8">
            <w:r w:rsidRPr="2AF58783">
              <w:t>MRPL14</w:t>
            </w:r>
          </w:p>
        </w:tc>
        <w:tc>
          <w:tcPr>
            <w:tcW w:w="1725" w:type="dxa"/>
          </w:tcPr>
          <w:p w:rsidR="2AF58783" w:rsidP="2AF58783" w:rsidRDefault="2AF58783" w14:paraId="6BF5E5B5" w14:textId="1FFDCD72"/>
        </w:tc>
      </w:tr>
      <w:tr w:rsidR="2AF58783" w:rsidTr="2AF58783" w14:paraId="4846FADF" w14:textId="77777777">
        <w:trPr>
          <w:trHeight w:val="315"/>
        </w:trPr>
        <w:tc>
          <w:tcPr>
            <w:tcW w:w="1425" w:type="dxa"/>
          </w:tcPr>
          <w:p w:rsidR="2AF58783" w:rsidP="2AF58783" w:rsidRDefault="2AF58783" w14:paraId="2C743A75" w14:textId="46893F41">
            <w:r w:rsidRPr="2AF58783">
              <w:t>TTC30</w:t>
            </w:r>
          </w:p>
        </w:tc>
        <w:tc>
          <w:tcPr>
            <w:tcW w:w="1725" w:type="dxa"/>
          </w:tcPr>
          <w:p w:rsidR="2AF58783" w:rsidP="2AF58783" w:rsidRDefault="2AF58783" w14:paraId="7CFC334F" w14:textId="442F31DB"/>
        </w:tc>
      </w:tr>
      <w:tr w:rsidR="2AF58783" w:rsidTr="2AF58783" w14:paraId="02FD5210" w14:textId="77777777">
        <w:trPr>
          <w:trHeight w:val="330"/>
        </w:trPr>
        <w:tc>
          <w:tcPr>
            <w:tcW w:w="1425" w:type="dxa"/>
          </w:tcPr>
          <w:p w:rsidR="2AF58783" w:rsidP="2AF58783" w:rsidRDefault="2AF58783" w14:paraId="1D8F0B90" w14:textId="19E7678B">
            <w:r w:rsidRPr="2AF58783">
              <w:t>IFT81</w:t>
            </w:r>
          </w:p>
        </w:tc>
        <w:tc>
          <w:tcPr>
            <w:tcW w:w="1725" w:type="dxa"/>
          </w:tcPr>
          <w:p w:rsidR="2AF58783" w:rsidP="2AF58783" w:rsidRDefault="2AF58783" w14:paraId="618E3873" w14:textId="2AEC04AB"/>
        </w:tc>
      </w:tr>
    </w:tbl>
    <w:p w:rsidRPr="00316541" w:rsidR="00582129" w:rsidP="2AF58783" w:rsidRDefault="00582129" w14:paraId="419DBD06" w14:textId="08F0D49B">
      <w:pPr>
        <w:spacing w:line="360" w:lineRule="auto"/>
      </w:pPr>
    </w:p>
    <w:p w:rsidRPr="00316541" w:rsidR="00582129" w:rsidP="2AF58783" w:rsidRDefault="00582129" w14:paraId="55D81324" w14:textId="227DF172">
      <w:pPr>
        <w:spacing w:line="360" w:lineRule="auto"/>
      </w:pPr>
    </w:p>
    <w:p w:rsidRPr="00316541" w:rsidR="00582129" w:rsidP="2AF58783" w:rsidRDefault="00582129" w14:paraId="00F72D98" w14:textId="5E2E72CE">
      <w:pPr>
        <w:spacing w:line="360" w:lineRule="auto"/>
      </w:pPr>
    </w:p>
    <w:sectPr w:rsidRPr="00316541" w:rsidR="0058212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01A"/>
    <w:rsid w:val="000701DE"/>
    <w:rsid w:val="00175889"/>
    <w:rsid w:val="002249F0"/>
    <w:rsid w:val="0024336C"/>
    <w:rsid w:val="003410F7"/>
    <w:rsid w:val="003B0B46"/>
    <w:rsid w:val="003F64FC"/>
    <w:rsid w:val="0045601A"/>
    <w:rsid w:val="004D1086"/>
    <w:rsid w:val="00565877"/>
    <w:rsid w:val="00582129"/>
    <w:rsid w:val="005B7286"/>
    <w:rsid w:val="006E2196"/>
    <w:rsid w:val="00737943"/>
    <w:rsid w:val="008B4A7C"/>
    <w:rsid w:val="008D49B2"/>
    <w:rsid w:val="008F2128"/>
    <w:rsid w:val="00940190"/>
    <w:rsid w:val="009611F0"/>
    <w:rsid w:val="00AB46FF"/>
    <w:rsid w:val="00C867F6"/>
    <w:rsid w:val="00D32C93"/>
    <w:rsid w:val="00E93B21"/>
    <w:rsid w:val="00EA0607"/>
    <w:rsid w:val="00F63F3E"/>
    <w:rsid w:val="00F863D9"/>
    <w:rsid w:val="00FF6428"/>
    <w:rsid w:val="2AF58783"/>
    <w:rsid w:val="5D292B1B"/>
    <w:rsid w:val="649222E4"/>
    <w:rsid w:val="6588B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7E3EE"/>
  <w15:chartTrackingRefBased/>
  <w15:docId w15:val="{56180171-E566-451C-9C94-853DEE5D5B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5601A"/>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Strong">
    <w:name w:val="Strong"/>
    <w:basedOn w:val="DefaultParagraphFont"/>
    <w:uiPriority w:val="22"/>
    <w:qFormat/>
    <w:rsid w:val="003410F7"/>
    <w:rPr>
      <w:b/>
      <w:bCs/>
    </w:rPr>
  </w:style>
  <w:style w:type="table" w:styleId="TableGrid">
    <w:name w:val="Table Grid"/>
    <w:basedOn w:val="TableNormal"/>
    <w:uiPriority w:val="39"/>
    <w:rsid w:val="00D32C93"/>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tiff" Id="rId8" /><Relationship Type="http://schemas.openxmlformats.org/officeDocument/2006/relationships/webSettings" Target="webSettings.xml" Id="rId3" /><Relationship Type="http://schemas.openxmlformats.org/officeDocument/2006/relationships/image" Target="media/image4.tiff"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tiff" Id="rId6" /><Relationship Type="http://schemas.openxmlformats.org/officeDocument/2006/relationships/theme" Target="theme/theme1.xml" Id="rId11" /><Relationship Type="http://schemas.openxmlformats.org/officeDocument/2006/relationships/image" Target="media/image2.tiff" Id="rId5" /><Relationship Type="http://schemas.openxmlformats.org/officeDocument/2006/relationships/fontTable" Target="fontTable.xml" Id="rId10" /><Relationship Type="http://schemas.openxmlformats.org/officeDocument/2006/relationships/image" Target="media/image1.tiff" Id="rId4" /><Relationship Type="http://schemas.openxmlformats.org/officeDocument/2006/relationships/image" Target="media/image6.tiff"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Brian C. Trainor</dc:creator>
  <keywords/>
  <dc:description/>
  <lastModifiedBy>Alexia Williams</lastModifiedBy>
  <revision>28</revision>
  <dcterms:created xsi:type="dcterms:W3CDTF">2022-04-29T18:55:00.0000000Z</dcterms:created>
  <dcterms:modified xsi:type="dcterms:W3CDTF">2022-06-18T14:44:01.8742932Z</dcterms:modified>
</coreProperties>
</file>