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70751D" w14:textId="418A4989" w:rsidR="00E6133D" w:rsidRPr="00BC0B96" w:rsidRDefault="007527BE" w:rsidP="00BD1FB4">
      <w:pPr>
        <w:suppressLineNumbers/>
        <w:rPr>
          <w:sz w:val="36"/>
          <w:szCs w:val="36"/>
        </w:rPr>
      </w:pPr>
      <w:r w:rsidRPr="00BC0B96">
        <w:rPr>
          <w:rFonts w:ascii="Arial" w:hAnsi="Arial" w:cs="Arial"/>
          <w:noProof/>
          <w:sz w:val="20"/>
        </w:rPr>
        <w:drawing>
          <wp:inline distT="0" distB="0" distL="0" distR="0" wp14:anchorId="1D71516D" wp14:editId="1F4D7194">
            <wp:extent cx="1200150" cy="42258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NAS 2022 logo.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29120" cy="432789"/>
                    </a:xfrm>
                    <a:prstGeom prst="rect">
                      <a:avLst/>
                    </a:prstGeom>
                  </pic:spPr>
                </pic:pic>
              </a:graphicData>
            </a:graphic>
          </wp:inline>
        </w:drawing>
      </w:r>
    </w:p>
    <w:p w14:paraId="2A67E2A4" w14:textId="77777777" w:rsidR="00DF48AE" w:rsidRPr="00BC0B96" w:rsidRDefault="00DF48AE" w:rsidP="00BD1FB4">
      <w:pPr>
        <w:suppressLineNumbers/>
        <w:jc w:val="center"/>
        <w:rPr>
          <w:sz w:val="36"/>
          <w:szCs w:val="36"/>
        </w:rPr>
      </w:pPr>
    </w:p>
    <w:p w14:paraId="712729FA" w14:textId="77777777" w:rsidR="00335F65" w:rsidRPr="00BC0B96" w:rsidRDefault="00335F65" w:rsidP="00BD1FB4">
      <w:pPr>
        <w:suppressLineNumbers/>
        <w:jc w:val="center"/>
      </w:pPr>
      <w:bookmarkStart w:id="0" w:name="OLE_LINK1"/>
      <w:r w:rsidRPr="00BC0B96">
        <w:t>Sexual differentiation of neural mechanisms of stress sensitivity during puberty</w:t>
      </w:r>
    </w:p>
    <w:bookmarkEnd w:id="0"/>
    <w:p w14:paraId="12588F07" w14:textId="77777777" w:rsidR="00E6133D" w:rsidRPr="00BC0B96" w:rsidRDefault="00E6133D" w:rsidP="00BD1FB4">
      <w:pPr>
        <w:suppressLineNumbers/>
        <w:rPr>
          <w:rFonts w:ascii="Arial" w:hAnsi="Arial" w:cs="Arial"/>
          <w:sz w:val="20"/>
          <w:szCs w:val="20"/>
        </w:rPr>
      </w:pPr>
    </w:p>
    <w:p w14:paraId="4D2454BD" w14:textId="560FB93F" w:rsidR="0064208A" w:rsidRPr="00BC0B96" w:rsidRDefault="0064208A" w:rsidP="00BD1FB4">
      <w:pPr>
        <w:suppressLineNumbers/>
        <w:jc w:val="center"/>
        <w:rPr>
          <w:vertAlign w:val="superscript"/>
        </w:rPr>
      </w:pPr>
      <w:r w:rsidRPr="00BC0B96">
        <w:t xml:space="preserve">Emily C. </w:t>
      </w:r>
      <w:proofErr w:type="spellStart"/>
      <w:proofErr w:type="gramStart"/>
      <w:r w:rsidRPr="00BC0B96">
        <w:t>Wright</w:t>
      </w:r>
      <w:r w:rsidRPr="00BC0B96">
        <w:rPr>
          <w:vertAlign w:val="superscript"/>
        </w:rPr>
        <w:t>a,b</w:t>
      </w:r>
      <w:proofErr w:type="spellEnd"/>
      <w:proofErr w:type="gramEnd"/>
      <w:r w:rsidR="00452E98" w:rsidRPr="00BC0B96">
        <w:t xml:space="preserve">, Pei X. </w:t>
      </w:r>
      <w:proofErr w:type="spellStart"/>
      <w:r w:rsidR="00452E98" w:rsidRPr="00BC0B96">
        <w:t>Luo</w:t>
      </w:r>
      <w:r w:rsidR="00452E98" w:rsidRPr="00BC0B96">
        <w:rPr>
          <w:vertAlign w:val="superscript"/>
        </w:rPr>
        <w:t>a</w:t>
      </w:r>
      <w:proofErr w:type="spellEnd"/>
      <w:r w:rsidR="00452E98" w:rsidRPr="00BC0B96">
        <w:t xml:space="preserve">, </w:t>
      </w:r>
      <w:r w:rsidRPr="00BC0B96">
        <w:t xml:space="preserve">Hannah C. </w:t>
      </w:r>
      <w:proofErr w:type="spellStart"/>
      <w:r w:rsidRPr="00BC0B96">
        <w:t>Zakharenkov</w:t>
      </w:r>
      <w:r w:rsidRPr="00BC0B96">
        <w:rPr>
          <w:vertAlign w:val="superscript"/>
        </w:rPr>
        <w:t>a</w:t>
      </w:r>
      <w:proofErr w:type="spellEnd"/>
      <w:r w:rsidRPr="00BC0B96">
        <w:t xml:space="preserve">, Alexandra Serna </w:t>
      </w:r>
      <w:proofErr w:type="spellStart"/>
      <w:r w:rsidRPr="00BC0B96">
        <w:t>Godoy</w:t>
      </w:r>
      <w:r w:rsidRPr="00BC0B96">
        <w:rPr>
          <w:vertAlign w:val="superscript"/>
        </w:rPr>
        <w:t>a</w:t>
      </w:r>
      <w:proofErr w:type="spellEnd"/>
      <w:r w:rsidRPr="00BC0B96">
        <w:t>, Alyssa A. Lake</w:t>
      </w:r>
      <w:r w:rsidRPr="00BC0B96">
        <w:rPr>
          <w:vertAlign w:val="superscript"/>
        </w:rPr>
        <w:t>a</w:t>
      </w:r>
      <w:r w:rsidRPr="00BC0B96">
        <w:t xml:space="preserve">, Zhana D. </w:t>
      </w:r>
      <w:proofErr w:type="spellStart"/>
      <w:r w:rsidRPr="00BC0B96">
        <w:t>Prince</w:t>
      </w:r>
      <w:r w:rsidRPr="00BC0B96">
        <w:rPr>
          <w:vertAlign w:val="superscript"/>
        </w:rPr>
        <w:t>a</w:t>
      </w:r>
      <w:proofErr w:type="spellEnd"/>
      <w:r w:rsidRPr="00BC0B96">
        <w:t xml:space="preserve">, Shwetha </w:t>
      </w:r>
      <w:proofErr w:type="spellStart"/>
      <w:r w:rsidRPr="00BC0B96">
        <w:t>Sekar</w:t>
      </w:r>
      <w:r w:rsidRPr="00BC0B96">
        <w:rPr>
          <w:vertAlign w:val="superscript"/>
        </w:rPr>
        <w:t>a</w:t>
      </w:r>
      <w:proofErr w:type="spellEnd"/>
      <w:r w:rsidRPr="00BC0B96">
        <w:t xml:space="preserve">, Hannah I. </w:t>
      </w:r>
      <w:proofErr w:type="spellStart"/>
      <w:r w:rsidRPr="00BC0B96">
        <w:t>Culkin</w:t>
      </w:r>
      <w:r w:rsidRPr="00BC0B96">
        <w:rPr>
          <w:vertAlign w:val="superscript"/>
        </w:rPr>
        <w:t>a</w:t>
      </w:r>
      <w:proofErr w:type="spellEnd"/>
      <w:r w:rsidRPr="00BC0B96">
        <w:t xml:space="preserve">,  Alison V. </w:t>
      </w:r>
      <w:proofErr w:type="spellStart"/>
      <w:r w:rsidRPr="00BC0B96">
        <w:t>Ramirez</w:t>
      </w:r>
      <w:r w:rsidRPr="00BC0B96">
        <w:rPr>
          <w:vertAlign w:val="superscript"/>
        </w:rPr>
        <w:t>a</w:t>
      </w:r>
      <w:proofErr w:type="spellEnd"/>
      <w:r w:rsidRPr="00BC0B96">
        <w:t xml:space="preserve">, Tjien </w:t>
      </w:r>
      <w:proofErr w:type="spellStart"/>
      <w:r w:rsidRPr="00BC0B96">
        <w:t>Dwyer</w:t>
      </w:r>
      <w:r w:rsidRPr="00BC0B96">
        <w:rPr>
          <w:vertAlign w:val="superscript"/>
        </w:rPr>
        <w:t>a</w:t>
      </w:r>
      <w:proofErr w:type="spellEnd"/>
      <w:r w:rsidRPr="00BC0B96">
        <w:t xml:space="preserve">, Amita </w:t>
      </w:r>
      <w:proofErr w:type="spellStart"/>
      <w:r w:rsidRPr="00BC0B96">
        <w:t>Kapoor</w:t>
      </w:r>
      <w:r w:rsidRPr="00BC0B96">
        <w:rPr>
          <w:vertAlign w:val="superscript"/>
        </w:rPr>
        <w:t>c</w:t>
      </w:r>
      <w:proofErr w:type="spellEnd"/>
      <w:r w:rsidRPr="00BC0B96">
        <w:t xml:space="preserve">, Cody </w:t>
      </w:r>
      <w:proofErr w:type="spellStart"/>
      <w:r w:rsidRPr="00BC0B96">
        <w:t>Corbett</w:t>
      </w:r>
      <w:r w:rsidRPr="00BC0B96">
        <w:rPr>
          <w:vertAlign w:val="superscript"/>
        </w:rPr>
        <w:t>c</w:t>
      </w:r>
      <w:proofErr w:type="spellEnd"/>
      <w:r w:rsidRPr="00BC0B96">
        <w:t xml:space="preserve">, Lin </w:t>
      </w:r>
      <w:proofErr w:type="spellStart"/>
      <w:r w:rsidRPr="00BC0B96">
        <w:t>Tian</w:t>
      </w:r>
      <w:r w:rsidRPr="00BC0B96">
        <w:rPr>
          <w:vertAlign w:val="superscript"/>
        </w:rPr>
        <w:t>b</w:t>
      </w:r>
      <w:proofErr w:type="spellEnd"/>
      <w:r w:rsidRPr="00BC0B96">
        <w:t xml:space="preserve">, Andrew S. </w:t>
      </w:r>
      <w:proofErr w:type="spellStart"/>
      <w:r w:rsidRPr="00BC0B96">
        <w:t>Fox</w:t>
      </w:r>
      <w:r w:rsidRPr="00BC0B96">
        <w:rPr>
          <w:vertAlign w:val="superscript"/>
        </w:rPr>
        <w:t>a,d</w:t>
      </w:r>
      <w:proofErr w:type="spellEnd"/>
      <w:r w:rsidRPr="00BC0B96">
        <w:t xml:space="preserve">, Brian C. </w:t>
      </w:r>
      <w:proofErr w:type="spellStart"/>
      <w:r w:rsidRPr="00BC0B96">
        <w:t>Trainor</w:t>
      </w:r>
      <w:bookmarkStart w:id="1" w:name="_Hlk119652326"/>
      <w:r w:rsidRPr="00BC0B96">
        <w:rPr>
          <w:vertAlign w:val="superscript"/>
        </w:rPr>
        <w:t>a</w:t>
      </w:r>
      <w:bookmarkEnd w:id="1"/>
      <w:proofErr w:type="spellEnd"/>
    </w:p>
    <w:p w14:paraId="05D3A291" w14:textId="77777777" w:rsidR="0064208A" w:rsidRPr="00BC0B96" w:rsidRDefault="0064208A" w:rsidP="00BD1FB4">
      <w:pPr>
        <w:suppressLineNumbers/>
        <w:jc w:val="center"/>
        <w:rPr>
          <w:b/>
          <w:bCs/>
        </w:rPr>
      </w:pPr>
    </w:p>
    <w:p w14:paraId="2310483B" w14:textId="77777777" w:rsidR="0064208A" w:rsidRPr="00BC0B96" w:rsidRDefault="0064208A" w:rsidP="00BD1FB4">
      <w:pPr>
        <w:suppressLineNumbers/>
        <w:jc w:val="center"/>
      </w:pPr>
      <w:proofErr w:type="spellStart"/>
      <w:r w:rsidRPr="00BC0B96">
        <w:rPr>
          <w:vertAlign w:val="superscript"/>
        </w:rPr>
        <w:t>a</w:t>
      </w:r>
      <w:r w:rsidRPr="00BC0B96">
        <w:t>Department</w:t>
      </w:r>
      <w:proofErr w:type="spellEnd"/>
      <w:r w:rsidRPr="00BC0B96">
        <w:t xml:space="preserve"> of Psychology, University of California, Davis, Davis, CA, 95616</w:t>
      </w:r>
      <w:r w:rsidRPr="00BC0B96">
        <w:rPr>
          <w:rFonts w:ascii="Calibri" w:eastAsia="Calibri" w:hAnsi="Calibri" w:cs="Calibri"/>
        </w:rPr>
        <w:t>, USA</w:t>
      </w:r>
    </w:p>
    <w:p w14:paraId="42AFB1B6" w14:textId="77777777" w:rsidR="0064208A" w:rsidRPr="00BC0B96" w:rsidRDefault="0064208A" w:rsidP="00BD1FB4">
      <w:pPr>
        <w:suppressLineNumbers/>
        <w:jc w:val="center"/>
      </w:pPr>
      <w:proofErr w:type="spellStart"/>
      <w:r w:rsidRPr="00BC0B96">
        <w:rPr>
          <w:vertAlign w:val="superscript"/>
        </w:rPr>
        <w:t>b</w:t>
      </w:r>
      <w:r w:rsidRPr="00BC0B96">
        <w:t>Department</w:t>
      </w:r>
      <w:proofErr w:type="spellEnd"/>
      <w:r w:rsidRPr="00BC0B96">
        <w:t xml:space="preserve"> of Biochemistry and Molecular Medicine, School of Medicine, University of California, Davis, Davis, CA, 95616</w:t>
      </w:r>
      <w:r w:rsidRPr="00BC0B96">
        <w:rPr>
          <w:rFonts w:ascii="Calibri" w:eastAsia="Calibri" w:hAnsi="Calibri" w:cs="Calibri"/>
        </w:rPr>
        <w:t>, USA</w:t>
      </w:r>
    </w:p>
    <w:p w14:paraId="69416862" w14:textId="77777777" w:rsidR="0064208A" w:rsidRPr="00BC0B96" w:rsidRDefault="0064208A" w:rsidP="00BD1FB4">
      <w:pPr>
        <w:suppressLineNumbers/>
        <w:jc w:val="center"/>
      </w:pPr>
      <w:proofErr w:type="spellStart"/>
      <w:r w:rsidRPr="00BC0B96">
        <w:rPr>
          <w:vertAlign w:val="superscript"/>
        </w:rPr>
        <w:t>c</w:t>
      </w:r>
      <w:r w:rsidRPr="00BC0B96">
        <w:t>Wisconsin</w:t>
      </w:r>
      <w:proofErr w:type="spellEnd"/>
      <w:r w:rsidRPr="00BC0B96">
        <w:t xml:space="preserve"> National Primate Research Center, Madison, WI, 53715</w:t>
      </w:r>
      <w:r w:rsidRPr="00BC0B96">
        <w:rPr>
          <w:rFonts w:ascii="Calibri" w:eastAsia="Calibri" w:hAnsi="Calibri" w:cs="Calibri"/>
        </w:rPr>
        <w:t>, USA</w:t>
      </w:r>
    </w:p>
    <w:p w14:paraId="0D4E6C91" w14:textId="77777777" w:rsidR="0064208A" w:rsidRPr="00BC0B96" w:rsidRDefault="0064208A" w:rsidP="00BD1FB4">
      <w:pPr>
        <w:suppressLineNumbers/>
        <w:jc w:val="center"/>
      </w:pPr>
      <w:r w:rsidRPr="00BC0B96">
        <w:rPr>
          <w:rFonts w:ascii="Calibri" w:eastAsia="Calibri" w:hAnsi="Calibri" w:cs="Calibri"/>
          <w:vertAlign w:val="superscript"/>
        </w:rPr>
        <w:t>d</w:t>
      </w:r>
      <w:r w:rsidRPr="00BC0B96">
        <w:rPr>
          <w:rFonts w:ascii="Calibri" w:eastAsia="Calibri" w:hAnsi="Calibri" w:cs="Calibri"/>
        </w:rPr>
        <w:t xml:space="preserve"> California National Primate Research Center, University of California, Davis, Davis, CA 95616, USA</w:t>
      </w:r>
    </w:p>
    <w:p w14:paraId="20DFDABE" w14:textId="309623AF" w:rsidR="00E6133D" w:rsidRPr="00BC0B96" w:rsidRDefault="00FB49BB" w:rsidP="00BD1FB4">
      <w:pPr>
        <w:suppressLineNumbers/>
        <w:rPr>
          <w:rFonts w:ascii="Arial" w:hAnsi="Arial" w:cs="Arial"/>
          <w:sz w:val="20"/>
          <w:szCs w:val="20"/>
        </w:rPr>
      </w:pPr>
      <w:r>
        <w:rPr>
          <w:rFonts w:ascii="Arial" w:hAnsi="Arial" w:cs="Arial"/>
          <w:sz w:val="20"/>
          <w:szCs w:val="20"/>
        </w:rPr>
        <w:t xml:space="preserve">correspondence: </w:t>
      </w:r>
      <w:r w:rsidR="0064208A" w:rsidRPr="00BC0B96">
        <w:rPr>
          <w:rFonts w:ascii="Arial" w:hAnsi="Arial" w:cs="Arial"/>
          <w:sz w:val="20"/>
          <w:szCs w:val="20"/>
        </w:rPr>
        <w:t>Brian C. Trainor</w:t>
      </w:r>
    </w:p>
    <w:p w14:paraId="46D7756D" w14:textId="215412A7" w:rsidR="00E6133D" w:rsidRPr="00BC0B96" w:rsidRDefault="00E6133D" w:rsidP="00BD1FB4">
      <w:pPr>
        <w:suppressLineNumbers/>
        <w:rPr>
          <w:rFonts w:ascii="Arial" w:hAnsi="Arial" w:cs="Arial"/>
          <w:sz w:val="20"/>
          <w:szCs w:val="20"/>
        </w:rPr>
      </w:pPr>
      <w:r w:rsidRPr="00BC0B96">
        <w:rPr>
          <w:rFonts w:ascii="Arial" w:hAnsi="Arial" w:cs="Arial"/>
          <w:b/>
          <w:sz w:val="20"/>
          <w:szCs w:val="20"/>
        </w:rPr>
        <w:t>Email:</w:t>
      </w:r>
      <w:r w:rsidR="0064208A" w:rsidRPr="00BC0B96">
        <w:rPr>
          <w:rFonts w:ascii="Arial" w:hAnsi="Arial" w:cs="Arial"/>
          <w:b/>
          <w:sz w:val="20"/>
          <w:szCs w:val="20"/>
        </w:rPr>
        <w:t xml:space="preserve"> bctrainor@ucdavis.edu</w:t>
      </w:r>
    </w:p>
    <w:p w14:paraId="1A4002EE" w14:textId="7EC33395" w:rsidR="00623869" w:rsidRPr="00BC0B96" w:rsidRDefault="00623869" w:rsidP="00BD1FB4">
      <w:pPr>
        <w:suppressLineNumbers/>
        <w:rPr>
          <w:rFonts w:ascii="Arial" w:hAnsi="Arial" w:cs="Arial"/>
          <w:sz w:val="20"/>
          <w:szCs w:val="20"/>
        </w:rPr>
      </w:pPr>
      <w:r w:rsidRPr="00BC0B96">
        <w:rPr>
          <w:rFonts w:ascii="Arial" w:hAnsi="Arial" w:cs="Arial"/>
          <w:b/>
          <w:sz w:val="20"/>
          <w:szCs w:val="20"/>
        </w:rPr>
        <w:t xml:space="preserve">Author Contributions: </w:t>
      </w:r>
      <w:r w:rsidR="00030A59" w:rsidRPr="00BC0B96">
        <w:rPr>
          <w:rFonts w:ascii="Arial" w:hAnsi="Arial" w:cs="Arial"/>
          <w:sz w:val="20"/>
          <w:szCs w:val="20"/>
        </w:rPr>
        <w:t>ECW</w:t>
      </w:r>
      <w:r w:rsidR="001E15FD" w:rsidRPr="00BC0B96">
        <w:rPr>
          <w:rFonts w:ascii="Arial" w:hAnsi="Arial" w:cs="Arial"/>
          <w:sz w:val="20"/>
          <w:szCs w:val="20"/>
        </w:rPr>
        <w:t xml:space="preserve"> and BCT designed research, EW, HCZ, ASG, AAL, ZDP, SS, HIC, PXL, AVR, TD, AK, CC performed research</w:t>
      </w:r>
      <w:r w:rsidR="00460D23" w:rsidRPr="00BC0B96">
        <w:rPr>
          <w:rFonts w:ascii="Arial" w:hAnsi="Arial" w:cs="Arial"/>
          <w:sz w:val="20"/>
          <w:szCs w:val="20"/>
        </w:rPr>
        <w:t>, ECW,</w:t>
      </w:r>
      <w:r w:rsidR="0045701E" w:rsidRPr="00BC0B96">
        <w:rPr>
          <w:rFonts w:ascii="Arial" w:hAnsi="Arial" w:cs="Arial"/>
          <w:sz w:val="20"/>
          <w:szCs w:val="20"/>
        </w:rPr>
        <w:t xml:space="preserve"> PXL,</w:t>
      </w:r>
      <w:r w:rsidR="00460D23" w:rsidRPr="00BC0B96">
        <w:rPr>
          <w:rFonts w:ascii="Arial" w:hAnsi="Arial" w:cs="Arial"/>
          <w:sz w:val="20"/>
          <w:szCs w:val="20"/>
        </w:rPr>
        <w:t xml:space="preserve"> LT, ASF and BCT analyzed data</w:t>
      </w:r>
      <w:r w:rsidR="007F6D62" w:rsidRPr="00BC0B96">
        <w:rPr>
          <w:rFonts w:ascii="Arial" w:hAnsi="Arial" w:cs="Arial"/>
          <w:sz w:val="20"/>
          <w:szCs w:val="20"/>
        </w:rPr>
        <w:t>, ECW and BCT wrote the paper.</w:t>
      </w:r>
    </w:p>
    <w:p w14:paraId="7A5DDA98" w14:textId="59D81DBB" w:rsidR="00623869" w:rsidRPr="00BC0B96" w:rsidRDefault="00623869" w:rsidP="00BD1FB4">
      <w:pPr>
        <w:suppressLineNumbers/>
        <w:rPr>
          <w:rFonts w:ascii="Arial" w:hAnsi="Arial" w:cs="Arial"/>
          <w:sz w:val="20"/>
          <w:szCs w:val="20"/>
        </w:rPr>
      </w:pPr>
      <w:r w:rsidRPr="00BC0B96">
        <w:rPr>
          <w:rFonts w:ascii="Arial" w:hAnsi="Arial" w:cs="Arial"/>
          <w:b/>
          <w:sz w:val="20"/>
          <w:szCs w:val="20"/>
        </w:rPr>
        <w:t xml:space="preserve">Competing Interest Statement: </w:t>
      </w:r>
      <w:r w:rsidR="00FA43C9" w:rsidRPr="00BC0B96">
        <w:rPr>
          <w:rFonts w:ascii="Arial" w:hAnsi="Arial" w:cs="Arial"/>
          <w:sz w:val="20"/>
          <w:szCs w:val="20"/>
        </w:rPr>
        <w:t>The authors have nothing to disclose.</w:t>
      </w:r>
      <w:r w:rsidRPr="00BC0B96">
        <w:rPr>
          <w:rFonts w:ascii="Arial" w:hAnsi="Arial" w:cs="Arial"/>
          <w:sz w:val="20"/>
          <w:szCs w:val="20"/>
        </w:rPr>
        <w:t xml:space="preserve"> </w:t>
      </w:r>
    </w:p>
    <w:p w14:paraId="61606AE0" w14:textId="694B9E7A" w:rsidR="00E6133D" w:rsidRPr="00BC0B96" w:rsidRDefault="00E6133D" w:rsidP="00BD1FB4">
      <w:pPr>
        <w:suppressLineNumbers/>
        <w:rPr>
          <w:rFonts w:ascii="Arial" w:hAnsi="Arial" w:cs="Arial"/>
          <w:sz w:val="20"/>
          <w:szCs w:val="20"/>
        </w:rPr>
      </w:pPr>
      <w:r w:rsidRPr="00BC0B96">
        <w:rPr>
          <w:rFonts w:ascii="Arial" w:hAnsi="Arial" w:cs="Arial"/>
          <w:b/>
          <w:sz w:val="20"/>
          <w:szCs w:val="20"/>
        </w:rPr>
        <w:t>Classification</w:t>
      </w:r>
      <w:r w:rsidR="00623869" w:rsidRPr="00BC0B96">
        <w:rPr>
          <w:rFonts w:ascii="Arial" w:hAnsi="Arial" w:cs="Arial"/>
          <w:b/>
          <w:sz w:val="20"/>
          <w:szCs w:val="20"/>
        </w:rPr>
        <w:t xml:space="preserve">: </w:t>
      </w:r>
      <w:r w:rsidR="00CF7363" w:rsidRPr="00BC0B96">
        <w:rPr>
          <w:rFonts w:ascii="Arial" w:hAnsi="Arial" w:cs="Arial"/>
          <w:bCs/>
          <w:sz w:val="20"/>
          <w:szCs w:val="20"/>
        </w:rPr>
        <w:t>Biological Sciences/Neuroscience, Social Sciences, Psychological and Cognitive Sciences</w:t>
      </w:r>
      <w:r w:rsidRPr="00BC0B96">
        <w:rPr>
          <w:rFonts w:ascii="Arial" w:hAnsi="Arial" w:cs="Arial"/>
          <w:sz w:val="20"/>
          <w:szCs w:val="20"/>
        </w:rPr>
        <w:t>.</w:t>
      </w:r>
    </w:p>
    <w:p w14:paraId="18812061" w14:textId="3B41B655" w:rsidR="00E6133D" w:rsidRPr="00BC0B96" w:rsidRDefault="00E6133D" w:rsidP="00BD1FB4">
      <w:pPr>
        <w:suppressLineNumbers/>
        <w:rPr>
          <w:rFonts w:ascii="Arial" w:hAnsi="Arial" w:cs="Arial"/>
          <w:sz w:val="20"/>
          <w:szCs w:val="20"/>
        </w:rPr>
      </w:pPr>
      <w:r w:rsidRPr="00BC0B96">
        <w:rPr>
          <w:rFonts w:ascii="Arial" w:hAnsi="Arial" w:cs="Arial"/>
          <w:b/>
          <w:sz w:val="20"/>
          <w:szCs w:val="20"/>
        </w:rPr>
        <w:t>Keywords</w:t>
      </w:r>
      <w:r w:rsidR="00623869" w:rsidRPr="00BC0B96">
        <w:rPr>
          <w:rFonts w:ascii="Arial" w:hAnsi="Arial" w:cs="Arial"/>
          <w:b/>
          <w:sz w:val="20"/>
          <w:szCs w:val="20"/>
        </w:rPr>
        <w:t xml:space="preserve">: </w:t>
      </w:r>
      <w:r w:rsidR="00887DE3" w:rsidRPr="00BC0B96">
        <w:rPr>
          <w:rFonts w:ascii="Arial" w:hAnsi="Arial" w:cs="Arial"/>
          <w:bCs/>
          <w:sz w:val="20"/>
          <w:szCs w:val="20"/>
        </w:rPr>
        <w:t>puberty, androgens, stress, extended amygdala, anxiety</w:t>
      </w:r>
    </w:p>
    <w:p w14:paraId="1265A261" w14:textId="77777777" w:rsidR="00623869" w:rsidRPr="00BC0B96" w:rsidRDefault="00623869" w:rsidP="00BD1FB4">
      <w:pPr>
        <w:suppressLineNumbers/>
        <w:rPr>
          <w:rFonts w:ascii="Arial" w:hAnsi="Arial" w:cs="Arial"/>
          <w:b/>
          <w:sz w:val="20"/>
          <w:szCs w:val="20"/>
        </w:rPr>
      </w:pPr>
    </w:p>
    <w:p w14:paraId="788EAF02" w14:textId="21CEB795" w:rsidR="00E6133D" w:rsidRPr="00BC0B96" w:rsidRDefault="00E6133D" w:rsidP="00BD1FB4">
      <w:pPr>
        <w:suppressLineNumbers/>
        <w:rPr>
          <w:rFonts w:ascii="Arial" w:hAnsi="Arial" w:cs="Arial"/>
          <w:b/>
          <w:sz w:val="20"/>
          <w:szCs w:val="20"/>
        </w:rPr>
      </w:pPr>
      <w:r w:rsidRPr="00BC0B96">
        <w:rPr>
          <w:rFonts w:ascii="Arial" w:hAnsi="Arial" w:cs="Arial"/>
          <w:b/>
          <w:sz w:val="20"/>
          <w:szCs w:val="20"/>
        </w:rPr>
        <w:t>This PDF file includes:</w:t>
      </w:r>
    </w:p>
    <w:p w14:paraId="14DCCC60" w14:textId="77777777" w:rsidR="00E6133D" w:rsidRPr="00BC0B96" w:rsidRDefault="00E6133D" w:rsidP="00BD1FB4">
      <w:pPr>
        <w:suppressLineNumbers/>
        <w:ind w:left="720"/>
        <w:contextualSpacing/>
        <w:rPr>
          <w:rFonts w:ascii="Arial" w:hAnsi="Arial" w:cs="Arial"/>
          <w:sz w:val="20"/>
          <w:szCs w:val="20"/>
        </w:rPr>
      </w:pPr>
      <w:r w:rsidRPr="00BC0B96">
        <w:rPr>
          <w:rFonts w:ascii="Arial" w:hAnsi="Arial" w:cs="Arial"/>
          <w:sz w:val="20"/>
          <w:szCs w:val="20"/>
        </w:rPr>
        <w:t>Main Text</w:t>
      </w:r>
    </w:p>
    <w:p w14:paraId="4EEAF45F" w14:textId="130C3C3C" w:rsidR="00474D11" w:rsidRPr="00BC0B96" w:rsidRDefault="00E6133D" w:rsidP="00BD1FB4">
      <w:pPr>
        <w:suppressLineNumbers/>
        <w:ind w:left="720"/>
        <w:contextualSpacing/>
        <w:rPr>
          <w:rFonts w:ascii="Arial" w:hAnsi="Arial" w:cs="Arial"/>
          <w:sz w:val="20"/>
          <w:szCs w:val="20"/>
        </w:rPr>
      </w:pPr>
      <w:r w:rsidRPr="00BC0B96">
        <w:rPr>
          <w:rFonts w:ascii="Arial" w:hAnsi="Arial" w:cs="Arial"/>
          <w:sz w:val="20"/>
          <w:szCs w:val="20"/>
        </w:rPr>
        <w:t xml:space="preserve">Figures 1 to </w:t>
      </w:r>
      <w:r w:rsidR="00D237F2" w:rsidRPr="00BC0B96">
        <w:rPr>
          <w:rFonts w:ascii="Arial" w:hAnsi="Arial" w:cs="Arial"/>
          <w:sz w:val="20"/>
          <w:szCs w:val="20"/>
        </w:rPr>
        <w:t>6</w:t>
      </w:r>
    </w:p>
    <w:p w14:paraId="76D190E6" w14:textId="7251B60B" w:rsidR="001C557E" w:rsidRPr="00BC0B96" w:rsidRDefault="001C557E" w:rsidP="00BD1FB4">
      <w:pPr>
        <w:suppressLineNumbers/>
        <w:rPr>
          <w:rFonts w:ascii="Arial" w:hAnsi="Arial" w:cs="Arial"/>
          <w:sz w:val="20"/>
          <w:szCs w:val="20"/>
        </w:rPr>
      </w:pPr>
      <w:bookmarkStart w:id="2" w:name="30j0zll" w:colFirst="0" w:colLast="0"/>
      <w:bookmarkStart w:id="3" w:name="1fob9te" w:colFirst="0" w:colLast="0"/>
      <w:bookmarkEnd w:id="2"/>
      <w:bookmarkEnd w:id="3"/>
      <w:r w:rsidRPr="00BC0B96">
        <w:rPr>
          <w:rFonts w:ascii="Arial" w:hAnsi="Arial" w:cs="Arial"/>
          <w:sz w:val="20"/>
          <w:szCs w:val="20"/>
        </w:rPr>
        <w:br w:type="page"/>
      </w:r>
    </w:p>
    <w:p w14:paraId="1022AED8" w14:textId="1EB60CFF" w:rsidR="00E6133D" w:rsidRPr="00BC0B96" w:rsidRDefault="00E6133D" w:rsidP="00E6133D">
      <w:pPr>
        <w:keepNext/>
        <w:pBdr>
          <w:top w:val="nil"/>
          <w:left w:val="nil"/>
          <w:bottom w:val="nil"/>
          <w:right w:val="nil"/>
          <w:between w:val="nil"/>
        </w:pBdr>
        <w:spacing w:before="240" w:after="60"/>
        <w:rPr>
          <w:rFonts w:ascii="Arial" w:hAnsi="Arial" w:cs="Arial"/>
          <w:b/>
          <w:sz w:val="20"/>
          <w:szCs w:val="20"/>
        </w:rPr>
      </w:pPr>
      <w:r w:rsidRPr="00BC0B96">
        <w:rPr>
          <w:rFonts w:ascii="Arial" w:hAnsi="Arial" w:cs="Arial"/>
          <w:b/>
          <w:sz w:val="20"/>
          <w:szCs w:val="20"/>
        </w:rPr>
        <w:lastRenderedPageBreak/>
        <w:t>Abstract</w:t>
      </w:r>
    </w:p>
    <w:p w14:paraId="06F86C8A" w14:textId="210C5F28" w:rsidR="00020A24" w:rsidRPr="00BC0B96" w:rsidRDefault="00020A24" w:rsidP="00D237F2">
      <w:pPr>
        <w:keepNext/>
        <w:pBdr>
          <w:top w:val="nil"/>
          <w:left w:val="nil"/>
          <w:bottom w:val="nil"/>
          <w:right w:val="nil"/>
          <w:between w:val="nil"/>
        </w:pBdr>
        <w:spacing w:before="240" w:after="60" w:line="360" w:lineRule="auto"/>
        <w:rPr>
          <w:rFonts w:ascii="Calibri" w:eastAsia="Calibri" w:hAnsi="Calibri" w:cs="Calibri"/>
        </w:rPr>
      </w:pPr>
      <w:r w:rsidRPr="00BC0B96">
        <w:t xml:space="preserve">Anxiety disorders are </w:t>
      </w:r>
      <w:r w:rsidR="00642F64" w:rsidRPr="00BC0B96">
        <w:t xml:space="preserve">a major public health </w:t>
      </w:r>
      <w:r w:rsidR="004464D3" w:rsidRPr="00BC0B96">
        <w:t>concern</w:t>
      </w:r>
      <w:r w:rsidR="00642F64" w:rsidRPr="00BC0B96">
        <w:t xml:space="preserve"> </w:t>
      </w:r>
      <w:r w:rsidR="00863373" w:rsidRPr="00BC0B96">
        <w:t xml:space="preserve">and current treatments are inadequate for many individuals. </w:t>
      </w:r>
      <w:r w:rsidR="00400E19" w:rsidRPr="00BC0B96">
        <w:t>A</w:t>
      </w:r>
      <w:r w:rsidR="00863373" w:rsidRPr="00BC0B96">
        <w:t xml:space="preserve">nxiety is </w:t>
      </w:r>
      <w:r w:rsidRPr="00BC0B96">
        <w:t>more common in women than men</w:t>
      </w:r>
      <w:r w:rsidR="002A424E" w:rsidRPr="00BC0B96">
        <w:t xml:space="preserve"> and t</w:t>
      </w:r>
      <w:r w:rsidRPr="00BC0B96">
        <w:t>his difference arises during puberty</w:t>
      </w:r>
      <w:r w:rsidR="002A424E" w:rsidRPr="00BC0B96">
        <w:t xml:space="preserve">. </w:t>
      </w:r>
      <w:r w:rsidR="00084FCF" w:rsidRPr="00BC0B96">
        <w:t xml:space="preserve">Sex differences in </w:t>
      </w:r>
      <w:r w:rsidR="00FC600C" w:rsidRPr="00BC0B96">
        <w:t>physiological stress responses may contribute to this variability. During puberty, g</w:t>
      </w:r>
      <w:r w:rsidRPr="00BC0B96">
        <w:t xml:space="preserve">onadal hormones </w:t>
      </w:r>
      <w:r w:rsidR="00024967" w:rsidRPr="00BC0B96">
        <w:t xml:space="preserve">shape </w:t>
      </w:r>
      <w:r w:rsidRPr="00BC0B96">
        <w:t xml:space="preserve">brain structure and function, </w:t>
      </w:r>
      <w:r w:rsidR="002A424E" w:rsidRPr="00BC0B96">
        <w:t xml:space="preserve">but </w:t>
      </w:r>
      <w:r w:rsidRPr="00BC0B96">
        <w:t xml:space="preserve">the extent to which these changes </w:t>
      </w:r>
      <w:r w:rsidR="000D3A82" w:rsidRPr="00BC0B96">
        <w:t>affect stress-sensitivity is unknown</w:t>
      </w:r>
      <w:r w:rsidRPr="00BC0B96">
        <w:t xml:space="preserve">. </w:t>
      </w:r>
      <w:r w:rsidR="000D3A82" w:rsidRPr="00BC0B96">
        <w:t xml:space="preserve">We </w:t>
      </w:r>
      <w:r w:rsidR="00D237F2" w:rsidRPr="00BC0B96">
        <w:t xml:space="preserve">examined how </w:t>
      </w:r>
      <w:r w:rsidR="00AC7BEA" w:rsidRPr="00BC0B96">
        <w:t>pubertal androgens</w:t>
      </w:r>
      <w:r w:rsidR="00806E39" w:rsidRPr="00BC0B96">
        <w:t xml:space="preserve"> shape behavioral and neural responses to social stress in </w:t>
      </w:r>
      <w:r w:rsidRPr="00BC0B96">
        <w:t xml:space="preserve">California mice </w:t>
      </w:r>
      <w:r w:rsidRPr="00BC0B96">
        <w:rPr>
          <w:i/>
          <w:iCs/>
        </w:rPr>
        <w:t>(Peromyscus californicus)</w:t>
      </w:r>
      <w:r w:rsidRPr="00BC0B96">
        <w:t>, a</w:t>
      </w:r>
      <w:r w:rsidR="00BF2EE7" w:rsidRPr="00BC0B96">
        <w:t xml:space="preserve"> </w:t>
      </w:r>
      <w:r w:rsidR="00FE0F6C" w:rsidRPr="00BC0B96">
        <w:t xml:space="preserve">model </w:t>
      </w:r>
      <w:r w:rsidR="00830A67" w:rsidRPr="00BC0B96">
        <w:t xml:space="preserve">species </w:t>
      </w:r>
      <w:r w:rsidR="00FE0F6C" w:rsidRPr="00BC0B96">
        <w:t xml:space="preserve">for studying sex differences </w:t>
      </w:r>
      <w:r w:rsidR="00E311E8" w:rsidRPr="00BC0B96">
        <w:t>in stress</w:t>
      </w:r>
      <w:r w:rsidR="00830A67" w:rsidRPr="00BC0B96">
        <w:t xml:space="preserve"> responses</w:t>
      </w:r>
      <w:r w:rsidR="00E311E8" w:rsidRPr="00BC0B96">
        <w:t xml:space="preserve">. </w:t>
      </w:r>
      <w:r w:rsidRPr="00BC0B96">
        <w:t xml:space="preserve">In adults, social defeat reduces social approach and increases social vigilance in females but not males. </w:t>
      </w:r>
      <w:r w:rsidR="004B0173" w:rsidRPr="00BC0B96">
        <w:t>We sh</w:t>
      </w:r>
      <w:r w:rsidRPr="00BC0B96">
        <w:t>ow this sex difference is absent in juvenile</w:t>
      </w:r>
      <w:r w:rsidR="004B0173" w:rsidRPr="00BC0B96">
        <w:t>s</w:t>
      </w:r>
      <w:r w:rsidRPr="00BC0B96">
        <w:t xml:space="preserve">, and that prepubertal castration sensitizes adult males to social defeat. Adult gonadectomy does not alter behavioral responses to defeat, </w:t>
      </w:r>
      <w:r w:rsidR="004B0173" w:rsidRPr="00BC0B96">
        <w:t xml:space="preserve">indicating </w:t>
      </w:r>
      <w:r w:rsidR="00042E1C" w:rsidRPr="00BC0B96">
        <w:t xml:space="preserve">that </w:t>
      </w:r>
      <w:r w:rsidRPr="00BC0B96">
        <w:t xml:space="preserve">gonadal hormones act during puberty to program behavioral responses to stress in adulthood. </w:t>
      </w:r>
      <w:r w:rsidR="001921E8" w:rsidRPr="00BC0B96">
        <w:t>C</w:t>
      </w:r>
      <w:r w:rsidRPr="00BC0B96">
        <w:t>alcium imaging in the medioventral bed nucleus of the stria terminalis (BNST) show</w:t>
      </w:r>
      <w:r w:rsidR="00047CA2" w:rsidRPr="00BC0B96">
        <w:t>ed</w:t>
      </w:r>
      <w:r w:rsidRPr="00BC0B96">
        <w:t xml:space="preserve"> that social threats increase</w:t>
      </w:r>
      <w:r w:rsidR="00B34BBB" w:rsidRPr="00BC0B96">
        <w:t xml:space="preserve">d neural activity </w:t>
      </w:r>
      <w:r w:rsidRPr="00BC0B96">
        <w:t>and that prepubertal castration generalize</w:t>
      </w:r>
      <w:r w:rsidR="00D9396E" w:rsidRPr="00BC0B96">
        <w:t>d</w:t>
      </w:r>
      <w:r w:rsidRPr="00BC0B96">
        <w:t xml:space="preserve"> these responses to less threatening social contexts. These </w:t>
      </w:r>
      <w:r w:rsidR="007A4387" w:rsidRPr="00BC0B96">
        <w:t>results</w:t>
      </w:r>
      <w:r w:rsidRPr="00BC0B96">
        <w:t xml:space="preserve"> support recent hypotheses that the BNST respond</w:t>
      </w:r>
      <w:r w:rsidR="00042E1C" w:rsidRPr="00BC0B96">
        <w:t>s</w:t>
      </w:r>
      <w:r w:rsidRPr="00BC0B96">
        <w:t xml:space="preserve"> to immediate threats. Prepubertal treatment with the non-</w:t>
      </w:r>
      <w:proofErr w:type="spellStart"/>
      <w:r w:rsidRPr="00BC0B96">
        <w:t>aromatizable</w:t>
      </w:r>
      <w:proofErr w:type="spellEnd"/>
      <w:r w:rsidRPr="00BC0B96">
        <w:t xml:space="preserve"> androgen dihydrotestosterone acts in males and females to reduce</w:t>
      </w:r>
      <w:r w:rsidR="00D9396E" w:rsidRPr="00BC0B96">
        <w:t xml:space="preserve"> effects of </w:t>
      </w:r>
      <w:r w:rsidRPr="00BC0B96">
        <w:t xml:space="preserve">defeat </w:t>
      </w:r>
      <w:r w:rsidR="001C62ED" w:rsidRPr="00BC0B96">
        <w:t xml:space="preserve">on social approach and vigilance </w:t>
      </w:r>
      <w:r w:rsidRPr="00BC0B96">
        <w:t>in adults. These data indicate activation of androgen receptors during puberty are critical for programing behavioral responses to stress in adulthood</w:t>
      </w:r>
      <w:r w:rsidR="000244F0" w:rsidRPr="00BC0B96">
        <w:t>.</w:t>
      </w:r>
    </w:p>
    <w:p w14:paraId="45398465" w14:textId="3F338D25" w:rsidR="00E6133D" w:rsidRPr="00BC0B96" w:rsidRDefault="00E6133D" w:rsidP="00D237F2">
      <w:pPr>
        <w:keepNext/>
        <w:pBdr>
          <w:top w:val="nil"/>
          <w:left w:val="nil"/>
          <w:bottom w:val="nil"/>
          <w:right w:val="nil"/>
          <w:between w:val="nil"/>
        </w:pBdr>
        <w:spacing w:before="240" w:after="60" w:line="360" w:lineRule="auto"/>
        <w:rPr>
          <w:rFonts w:ascii="Arial" w:hAnsi="Arial" w:cs="Arial"/>
          <w:b/>
          <w:sz w:val="20"/>
          <w:szCs w:val="20"/>
        </w:rPr>
      </w:pPr>
      <w:r w:rsidRPr="00BC0B96">
        <w:rPr>
          <w:rFonts w:ascii="Arial" w:hAnsi="Arial" w:cs="Arial"/>
          <w:b/>
          <w:sz w:val="20"/>
          <w:szCs w:val="20"/>
        </w:rPr>
        <w:t>Significance Statement</w:t>
      </w:r>
      <w:r w:rsidR="00102A47" w:rsidRPr="00BC0B96">
        <w:rPr>
          <w:rFonts w:ascii="Arial" w:hAnsi="Arial" w:cs="Arial"/>
          <w:b/>
          <w:sz w:val="20"/>
          <w:szCs w:val="20"/>
        </w:rPr>
        <w:t xml:space="preserve">   </w:t>
      </w:r>
    </w:p>
    <w:p w14:paraId="2A72CFB6" w14:textId="4091A981" w:rsidR="001C557E" w:rsidRPr="00BC0B96" w:rsidRDefault="00102A47" w:rsidP="0014049E">
      <w:pPr>
        <w:spacing w:line="360" w:lineRule="auto"/>
      </w:pPr>
      <w:r w:rsidRPr="00BC0B96">
        <w:t xml:space="preserve">Puberty is a key period when sex differences in anxiety emerge, but causal mechanisms are unknown. We show that androgens play a key role in programming behavioral responses to social defeat stress. Using calcium imaging we show that neural activity in the bed nucleus of the stria terminalis </w:t>
      </w:r>
      <w:r w:rsidR="00E50F38" w:rsidRPr="00BC0B96">
        <w:t xml:space="preserve">(BNST) </w:t>
      </w:r>
      <w:r w:rsidR="00E20AB2" w:rsidRPr="00BC0B96">
        <w:t xml:space="preserve">is </w:t>
      </w:r>
      <w:r w:rsidRPr="00BC0B96">
        <w:t>increase</w:t>
      </w:r>
      <w:r w:rsidR="00E20AB2" w:rsidRPr="00BC0B96">
        <w:t>d by</w:t>
      </w:r>
      <w:r w:rsidRPr="00BC0B96">
        <w:t xml:space="preserve"> social threats </w:t>
      </w:r>
      <w:r w:rsidR="00E20AB2" w:rsidRPr="00BC0B96">
        <w:t xml:space="preserve">but not </w:t>
      </w:r>
      <w:r w:rsidRPr="00BC0B96">
        <w:t>defensive responses</w:t>
      </w:r>
      <w:r w:rsidR="00E20AB2" w:rsidRPr="00BC0B96">
        <w:t xml:space="preserve"> like freezing</w:t>
      </w:r>
      <w:r w:rsidR="0014049E" w:rsidRPr="00BC0B96">
        <w:t>. T</w:t>
      </w:r>
      <w:r w:rsidRPr="00BC0B96">
        <w:t xml:space="preserve">hese responses are more generalized in males </w:t>
      </w:r>
      <w:r w:rsidR="0014049E" w:rsidRPr="00BC0B96">
        <w:t xml:space="preserve">lacking </w:t>
      </w:r>
      <w:r w:rsidRPr="00BC0B96">
        <w:t>pubertal androgen exposure. These observations contribute to recent discussion</w:t>
      </w:r>
      <w:r w:rsidR="001F286A" w:rsidRPr="00BC0B96">
        <w:t>s</w:t>
      </w:r>
      <w:r w:rsidRPr="00BC0B96">
        <w:t xml:space="preserve"> on the function of the extended amygdala and support </w:t>
      </w:r>
      <w:r w:rsidR="0014049E" w:rsidRPr="00BC0B96">
        <w:t xml:space="preserve">the </w:t>
      </w:r>
      <w:r w:rsidRPr="00BC0B96">
        <w:t>hypothes</w:t>
      </w:r>
      <w:r w:rsidR="0014049E" w:rsidRPr="00BC0B96">
        <w:t>i</w:t>
      </w:r>
      <w:r w:rsidRPr="00BC0B96">
        <w:t>s that the BNST can encode immediate threats. Our findings highlight the importance of pubertal androgens in determining adult behavioral responses to social stress.</w:t>
      </w:r>
      <w:r w:rsidR="001C557E" w:rsidRPr="00BC0B96">
        <w:rPr>
          <w:rFonts w:ascii="Arial" w:hAnsi="Arial" w:cs="Arial"/>
          <w:sz w:val="20"/>
          <w:szCs w:val="20"/>
        </w:rPr>
        <w:br w:type="page"/>
      </w:r>
    </w:p>
    <w:p w14:paraId="0A25037F" w14:textId="77777777" w:rsidR="00E6133D" w:rsidRPr="00BC0B96" w:rsidRDefault="00E6133D" w:rsidP="00E6133D">
      <w:pPr>
        <w:keepNext/>
        <w:pBdr>
          <w:top w:val="nil"/>
          <w:left w:val="nil"/>
          <w:bottom w:val="nil"/>
          <w:right w:val="nil"/>
          <w:between w:val="nil"/>
        </w:pBdr>
        <w:spacing w:before="240" w:after="60"/>
        <w:contextualSpacing/>
        <w:rPr>
          <w:rFonts w:ascii="Arial" w:hAnsi="Arial" w:cs="Arial"/>
          <w:b/>
          <w:sz w:val="20"/>
          <w:szCs w:val="20"/>
        </w:rPr>
      </w:pPr>
      <w:r w:rsidRPr="00BC0B96">
        <w:rPr>
          <w:rFonts w:ascii="Arial" w:hAnsi="Arial" w:cs="Arial"/>
          <w:b/>
          <w:sz w:val="20"/>
          <w:szCs w:val="20"/>
        </w:rPr>
        <w:lastRenderedPageBreak/>
        <w:t>Introduction</w:t>
      </w:r>
    </w:p>
    <w:p w14:paraId="4903E3B2" w14:textId="77777777" w:rsidR="00980C22" w:rsidRPr="00BC0B96" w:rsidRDefault="00980C22" w:rsidP="00E6133D">
      <w:pPr>
        <w:keepNext/>
        <w:pBdr>
          <w:top w:val="nil"/>
          <w:left w:val="nil"/>
          <w:bottom w:val="nil"/>
          <w:right w:val="nil"/>
          <w:between w:val="nil"/>
        </w:pBdr>
        <w:spacing w:before="240" w:after="60"/>
        <w:contextualSpacing/>
        <w:rPr>
          <w:rFonts w:ascii="Arial" w:hAnsi="Arial" w:cs="Arial"/>
          <w:b/>
          <w:sz w:val="20"/>
          <w:szCs w:val="20"/>
        </w:rPr>
      </w:pPr>
    </w:p>
    <w:p w14:paraId="1CC63580" w14:textId="4F097C44" w:rsidR="00F2165E" w:rsidRPr="00BC0B96" w:rsidRDefault="00D557E0" w:rsidP="00F2165E">
      <w:pPr>
        <w:spacing w:line="360" w:lineRule="auto"/>
      </w:pPr>
      <w:r w:rsidRPr="00BC0B96">
        <w:t xml:space="preserve">     Anxiety disorders </w:t>
      </w:r>
      <w:r w:rsidR="008B2964" w:rsidRPr="00BC0B96">
        <w:t>are one of</w:t>
      </w:r>
      <w:r w:rsidR="00276C90" w:rsidRPr="00BC0B96">
        <w:t xml:space="preserve"> </w:t>
      </w:r>
      <w:r w:rsidRPr="00BC0B96">
        <w:t>the most frequently diagnosed categor</w:t>
      </w:r>
      <w:r w:rsidR="008B2964" w:rsidRPr="00BC0B96">
        <w:t>ies</w:t>
      </w:r>
      <w:r w:rsidRPr="00BC0B96">
        <w:t xml:space="preserve"> of mental illness, </w:t>
      </w:r>
      <w:r w:rsidR="009F4690" w:rsidRPr="00BC0B96">
        <w:t xml:space="preserve">with over 28% </w:t>
      </w:r>
      <w:r w:rsidR="00623A75" w:rsidRPr="00BC0B96">
        <w:t xml:space="preserve">lifetime prevalence in the United States </w:t>
      </w:r>
      <w:r w:rsidR="00A700D1" w:rsidRPr="00BC0B96">
        <w:fldChar w:fldCharType="begin"/>
      </w:r>
      <w:r w:rsidR="00A700D1" w:rsidRPr="00BC0B96">
        <w:instrText xml:space="preserve"> ADDIN ZOTERO_ITEM CSL_CITATION {"citationID":"rWHjtBbV","properties":{"formattedCitation":"(1)","plainCitation":"(1)","noteIndex":0},"citationItems":[{"id":7089,"uris":["http://zotero.org/users/5661202/items/83CMQZWV"],"itemData":{"id":7089,"type":"article-journal","abstract":"CONTEXT: Little is known about lifetime prevalence or age of onset of DSM-IV disorders.\nOBJECTIVE: To estimate lifetime prevalence and age-of-onset distributions of DSM-IV disorders in the recently completed National Comorbidity Survey Replication.\nDESIGN AND SETTING: Nationally representative face-to-face household survey conducted between February 2001 and April 2003 using the fully structured World Health Organization World Mental Health Survey version of the Composite International Diagnostic Interview.\nPARTICIPANTS: Nine thousand two hundred eighty-two English-speaking respondents aged 18 years and older.\nMAIN OUTCOME MEASURES: Lifetime DSM-IV anxiety, mood, impulse-control, and substance use disorders.\nRESULTS: Lifetime prevalence estimates are as follows: anxiety disorders, 28.8%; mood disorders, 20.8%; impulse-control disorders, 24.8%; substance use disorders, 14.6%; any disorder, 46.4%. Median age of onset is much earlier for anxiety (11 years) and impulse-control (11 years) disorders than for substance use (20 years) and mood (30 years) disorders. Half of all lifetime cases start by age 14 years and three fourths by age 24 years. Later onsets are mostly of comorbid conditions, with estimated lifetime risk of any disorder at age 75 years (50.8%) only slightly higher than observed lifetime prevalence (46.4%). Lifetime prevalence estimates are higher in recent cohorts than in earlier cohorts and have fairly stable intercohort differences across the life course that vary in substantively plausible ways among sociodemographic subgroups.\nCONCLUSIONS: About half of Americans will meet the criteria for a DSM-IV disorder sometime in their life, with first onset usually in childhood or adolescence. Interventions aimed at prevention or early treatment need to focus on youth.","container-title":"Archives of General Psychiatry","DOI":"10.1001/archpsyc.62.6.593","ISSN":"0003-990X","issue":"6","journalAbbreviation":"Arch. Gen. Psychiatry","language":"eng","note":"PMID: 15939837","page":"593-602","source":"PubMed","title":"Lifetime prevalence and age-of-onset distributions of DSM-IV disorders in the National Comorbidity Survey Replication","volume":"62","author":[{"family":"Kessler","given":"Ronald C."},{"family":"Berglund","given":"Patricia"},{"family":"Demler","given":"Olga"},{"family":"Jin","given":"Robert"},{"family":"Merikangas","given":"Kathleen R."},{"family":"Walters","given":"Ellen E."}],"issued":{"date-parts":[["2005",6]]}}}],"schema":"https://github.com/citation-style-language/schema/raw/master/csl-citation.json"} </w:instrText>
      </w:r>
      <w:r w:rsidR="00A700D1" w:rsidRPr="00BC0B96">
        <w:fldChar w:fldCharType="separate"/>
      </w:r>
      <w:r w:rsidR="00A700D1" w:rsidRPr="00BC0B96">
        <w:rPr>
          <w:rFonts w:ascii="Calibri" w:hAnsi="Calibri" w:cs="Calibri"/>
        </w:rPr>
        <w:t>(1)</w:t>
      </w:r>
      <w:r w:rsidR="00A700D1" w:rsidRPr="00BC0B96">
        <w:fldChar w:fldCharType="end"/>
      </w:r>
      <w:r w:rsidR="00623A75" w:rsidRPr="00BC0B96">
        <w:t xml:space="preserve">. </w:t>
      </w:r>
      <w:r w:rsidR="008B2964" w:rsidRPr="00BC0B96">
        <w:t>T</w:t>
      </w:r>
      <w:r w:rsidR="0034616B" w:rsidRPr="00BC0B96">
        <w:t>reatments are available</w:t>
      </w:r>
      <w:r w:rsidR="008B2964" w:rsidRPr="00BC0B96">
        <w:t xml:space="preserve"> but</w:t>
      </w:r>
      <w:r w:rsidR="0008248A" w:rsidRPr="00BC0B96">
        <w:t xml:space="preserve"> a </w:t>
      </w:r>
      <w:r w:rsidR="00144306" w:rsidRPr="00BC0B96">
        <w:t>large fraction of those seeking treatment do not improve</w:t>
      </w:r>
      <w:r w:rsidR="00CE3040" w:rsidRPr="00BC0B96">
        <w:t xml:space="preserve"> </w:t>
      </w:r>
      <w:r w:rsidR="00CE3040" w:rsidRPr="00BC0B96">
        <w:fldChar w:fldCharType="begin"/>
      </w:r>
      <w:r w:rsidR="00CE3040" w:rsidRPr="00BC0B96">
        <w:instrText xml:space="preserve"> ADDIN ZOTERO_ITEM CSL_CITATION {"citationID":"N2tnYUS0","properties":{"formattedCitation":"(2)","plainCitation":"(2)","noteIndex":0},"citationItems":[{"id":9711,"uris":["http://zotero.org/users/5661202/items/76H3HU7D"],"itemData":{"id":9711,"type":"article-journal","container-title":"American Journal of Psychiatry","DOI":"10.1176/appi.ajp.162.6.1179","ISSN":"0002-953X, 1535-7228","issue":"6","journalAbbreviation":"AJP","language":"en","page":"1179-1187","source":"DOI.org (Crossref)","title":"Influence of Psychiatric Comorbidity on Recovery and Recurrence in Generalized Anxiety Disorder, Social Phobia, and Panic Disorder: A 12-Year Prospective Study","title-short":"Influence of Psychiatric Comorbidity on Recovery and Recurrence in Generalized Anxiety Disorder, Social Phobia, and Panic Disorder","volume":"162","author":[{"family":"Bruce","given":"Steven E."},{"family":"Yonkers","given":"Kimberly A."},{"family":"Otto","given":"Michael W."},{"family":"Eisen","given":"Jane L."},{"family":"Weisberg","given":"Risa B."},{"family":"Pagano","given":"Maria"},{"family":"Shea","given":"M. Tracie"},{"family":"Keller","given":"Martin B."}],"issued":{"date-parts":[["2005",6]]}}}],"schema":"https://github.com/citation-style-language/schema/raw/master/csl-citation.json"} </w:instrText>
      </w:r>
      <w:r w:rsidR="00CE3040" w:rsidRPr="00BC0B96">
        <w:fldChar w:fldCharType="separate"/>
      </w:r>
      <w:r w:rsidR="00CE3040" w:rsidRPr="00BC0B96">
        <w:rPr>
          <w:rFonts w:ascii="Calibri" w:hAnsi="Calibri" w:cs="Calibri"/>
        </w:rPr>
        <w:t>(2)</w:t>
      </w:r>
      <w:r w:rsidR="00CE3040" w:rsidRPr="00BC0B96">
        <w:fldChar w:fldCharType="end"/>
      </w:r>
      <w:r w:rsidR="008B73F4" w:rsidRPr="00BC0B96">
        <w:t xml:space="preserve">. </w:t>
      </w:r>
      <w:r w:rsidR="00607E78" w:rsidRPr="00BC0B96">
        <w:t>D</w:t>
      </w:r>
      <w:r w:rsidR="008B73F4" w:rsidRPr="00BC0B96">
        <w:t xml:space="preserve">etermining the underlying </w:t>
      </w:r>
      <w:r w:rsidR="00144306" w:rsidRPr="00BC0B96">
        <w:t xml:space="preserve">mechanisms of </w:t>
      </w:r>
      <w:r w:rsidR="008B73F4" w:rsidRPr="00BC0B96">
        <w:t>symptoms has been an effective strategy for developing new treatments</w:t>
      </w:r>
      <w:r w:rsidR="00607E78" w:rsidRPr="00BC0B96">
        <w:t xml:space="preserve"> for many health conditions</w:t>
      </w:r>
      <w:r w:rsidR="008B73F4" w:rsidRPr="00BC0B96">
        <w:t xml:space="preserve">. </w:t>
      </w:r>
      <w:r w:rsidR="00C07D6D" w:rsidRPr="00BC0B96">
        <w:t>Psychosocial stress is an important risk factor for anxiety disorders</w:t>
      </w:r>
      <w:r w:rsidR="00BC2230" w:rsidRPr="00BC0B96">
        <w:t xml:space="preserve">, and there is strong evidence for sex differences in stress responses. </w:t>
      </w:r>
      <w:r w:rsidR="00E576E1" w:rsidRPr="00BC0B96">
        <w:t xml:space="preserve">Sex differences in stress-responses </w:t>
      </w:r>
      <w:r w:rsidR="009A0B13" w:rsidRPr="00BC0B96">
        <w:t xml:space="preserve">are thought </w:t>
      </w:r>
      <w:r w:rsidR="00E576E1" w:rsidRPr="00BC0B96">
        <w:t xml:space="preserve">to contribute to sex differences in the anxiety risk </w:t>
      </w:r>
      <w:r w:rsidR="00E576E1" w:rsidRPr="00BC0B96">
        <w:fldChar w:fldCharType="begin"/>
      </w:r>
      <w:r w:rsidR="00563A6D" w:rsidRPr="00BC0B96">
        <w:instrText xml:space="preserve"> ADDIN ZOTERO_ITEM CSL_CITATION {"citationID":"JCuhG2KX","properties":{"formattedCitation":"(3\\uc0\\u8211{}5)","plainCitation":"(3–5)","noteIndex":0},"citationItems":[{"id":8937,"uris":["http://zotero.org/users/5661202/items/NY2T8FLF"],"itemData":{"id":8937,"type":"article-journal","abstract":"Epidemiological sex differences in anxiety disorders and major depression are well characterized. Yet the circuits and mechanisms that contribute to these differences are understudied, because preclinical studies have historically excluded female rodents. This oversight is beginning to be addressed, and recent studies that include male and female rodents are identifying sex differences in neurobiological processes that underlie features of these disorders, including conflict anxiety, fear processing, arousal, social avoidance, learned helplessness and anhedonia. These findings allow us to conceptualize various types of sex differences in the brain, which in turn have broader implications for considering sex as a biological variable. Importantly, comparing the sexes could aid in the discovery of novel therapeutics.","container-title":"Nature Reviews Neuroscience","DOI":"10.1038/s41583-021-00513-0","ISSN":"1471-0048","issue":"11","journalAbbreviation":"Nat Rev Neurosci","language":"en","license":"2021 Springer Nature Limited","note":"number: 11\npublisher: Nature Publishing Group","page":"674-684","source":"www.nature.com","title":"Sex differences in anxiety and depression: circuits and mechanisms","title-short":"Sex differences in anxiety and depression","volume":"22","author":[{"family":"Bangasser","given":"Debra A."},{"family":"Cuarenta","given":"Amelia"}],"issued":{"date-parts":[["2021",11]]}}},{"id":9633,"uris":["http://zotero.org/users/5661202/items/J5SMB4LU"],"itemData":{"id":9633,"type":"article-journal","abstract":"Risk for stress-sensitive psychopathologies differs in men and women, yet little is known about sex-dependent effects of stress on cellular structure and function in corticolimbic regions implicated in these disorders. Determining how stress influences these regions in males and females will deepen our understanding of the mechanisms underlying sex-biased psychopathology. Here, we discuss sex differences in CRF regulation of arousal and cognition, glucocorticoid modulation of amygdalar physiology and alcohol consumption, the age-dependent impact of social stress on prefrontal pyramidal cell excitability, stress effects on the prefrontal parvalbumin system in relation to emotional behaviors, contributions of stress and gonadal hormones to stress effects on prefrontal glia, and alterations in corticolimbic structure and function after cessation of chronic stress. These studies demonstrate that, while sex differences in stress effects may be nuanced, nonuniform, and nonlinear, investigations of these differences are nonetheless critical for developing effective, sex-specific treatments for psychological disorders.","container-title":"The Journal of Neuroscience","DOI":"10.1523/JNEUROSCI.1673-18.2018","ISSN":"0270-6474, 1529-2401","issue":"44","journalAbbreviation":"J. Neurosci.","language":"en","page":"9423-9432","source":"DOI.org (Crossref)","title":"Sex Differences in Risk and Resilience: Stress Effects on the Neural Substrates of Emotion and Motivation","title-short":"Sex Differences in Risk and Resilience","volume":"38","author":[{"family":"Wellman","given":"Cara L."},{"family":"Bangasser","given":"Debra A."},{"family":"Bollinger","given":"Justin L."},{"family":"Coutellier","given":"Laurence"},{"family":"Logrip","given":"Marian L."},{"family":"Moench","given":"Kelly M."},{"family":"Urban","given":"Kimberly R."}],"issued":{"date-parts":[["2018",10,31]]}}},{"id":9561,"uris":["http://zotero.org/users/5661202/items/PJ38MN4A"],"itemData":{"id":9561,"type":"article-journal","container-title":"eneuro","DOI":"10.1523/ENEURO.0318-19.2019","ISSN":"2373-2822","issue":"5","journalAbbreviation":"eNeuro","language":"en","page":"ENEURO.0318-19.2019","source":"DOI.org (Crossref)","title":"Social Isolation in Adolescence Disrupts Cortical Development and Goal-Dependent Decision-Making in Adulthood, Despite Social Reintegration","volume":"6","author":[{"family":"Hinton","given":"Elizabeth A."},{"family":"Li","given":"Dan C."},{"family":"Allen","given":"Aylet G."},{"family":"Gourley","given":"Shannon L."}],"issued":{"date-parts":[["2019",9]]}}}],"schema":"https://github.com/citation-style-language/schema/raw/master/csl-citation.json"} </w:instrText>
      </w:r>
      <w:r w:rsidR="00E576E1" w:rsidRPr="00BC0B96">
        <w:fldChar w:fldCharType="separate"/>
      </w:r>
      <w:r w:rsidR="00563A6D" w:rsidRPr="00BC0B96">
        <w:rPr>
          <w:rFonts w:ascii="Calibri" w:hAnsi="Calibri" w:cs="Calibri"/>
        </w:rPr>
        <w:t>(3–5)</w:t>
      </w:r>
      <w:r w:rsidR="00E576E1" w:rsidRPr="00BC0B96">
        <w:fldChar w:fldCharType="end"/>
      </w:r>
      <w:r w:rsidR="00E576E1" w:rsidRPr="00BC0B96">
        <w:t xml:space="preserve">, as anxiety rates are higher in women versus men </w:t>
      </w:r>
      <w:r w:rsidR="00E576E1" w:rsidRPr="00BC0B96">
        <w:fldChar w:fldCharType="begin"/>
      </w:r>
      <w:r w:rsidR="00C327F5">
        <w:instrText xml:space="preserve"> ADDIN ZOTERO_ITEM CSL_CITATION {"citationID":"RDWJgN2S","properties":{"formattedCitation":"(6\\uc0\\u8211{}11)","plainCitation":"(6–11)","noteIndex":0},"citationItems":[{"id":"dX9booob/KbihdnhG","uris":["http://zotero.org/users/local/Y6rHm1NE/items/JWUXVJV7"],"itemData":{"id":"4faT8IG1/TX5Y2GUb","type":"article-journal","abstract":"AimsAnxiety disorders are widespread across the world. A systematic understanding of the disease burden, temporal trend and risk factors of anxiety disorders provides the essential foundation for targeted public policies on mental health at the national, regional, and global levels.MethodsThe estimation of anxiety disorders in the Global Burden of Disease Study 2019 using systematic review was conducted to describe incidence, prevalence and disability-adjusted life years (DALYs) in 204 countries and regions from 1990 to 2019. We calculated the estimated annual percentage change (EAPC) to quantify the temporal trends in anxiety disorders burden by sex, region and age over the past 30 years and analysed the impact of epidemiological and demographic changes on anxiety disorders.ResultsGlobally, 45.82 [95% uncertainty interval (UI): 37.14, 55.62] million incident cases of anxiety disorders, 301.39 million (95% UI: 252.63, 356.00) prevalent cases and 28.68 (95% UI: 19.86, 39.32) million DALYs were estimated in 2019. Although the overall age-standardised burden rate of anxiety disorders remained stable over the past three decades, the latest absolute number of anxiety disorders increased by 50% from 1990. We observed huge disparities in both age-standardised burden rate and changing trend of anxiety disorders in sex, country and age. In 2019, 7.07% of the global DALYs due to anxiety disorders were attributable to bullying victimisation, mainly among the population aged 5–39 years, and the proportion increased in almost all countries and territories compared with 1990.ConclusionAnxiety disorder is still the most common mental illness in the world and has a striking impact on the global burden of disease. Controlling potential risk factors, such as bullying, establishing effective mental health knowledge dissemination and diversifying intervention strategies adapted to specific characteristics will reduce the burden of anxiety disorders.","container-title":"Epidemiology and Psychiatric Sciences","DOI":"10.1017/S2045796021000275","ISSN":"2045-7960, 2045-7979","language":"en","note":"publisher: Cambridge University Press","page":"e36","source":"Cambridge University Press","title":"Global, regional and national burden of anxiety disorders from 1990 to 2019: results from the Global Burden of Disease Study 2019","title-short":"Global, regional and national burden of anxiety disorders from 1990 to 2019","volume":"30","author":[{"family":"Yang","given":"Xiaorong"},{"family":"Fang","given":"Yuan"},{"family":"Chen","given":"Hui"},{"family":"Zhang","given":"Tongchao"},{"family":"Yin","given":"Xiaolin"},{"family":"Man","given":"Jinyu"},{"family":"Yang","given":"Lejin"},{"family":"Lu","given":"Ming"}],"issued":{"date-parts":[["2021",1]]}}},{"id":"dX9booob/TWgFCzfP","uris":["http://zotero.org/users/local/0DUDweI1/items/Q5ZNFGUI"],"itemData":{"id":1739,"type":"article-journal","abstract":"OBJECTIVE: The aim of the present study was to investigate the prevalence and treatment of affective and anxiety disorders in adults in Australia and compare these with the dispensed prescriptions of drugs used to treat these disorders.\nMETHODS: Analysis was done of the 2007 National Survey of Mental Health and Wellbeing regarding 12 month prevalence and treatment for affective and anxiety disorders and Pharmaceutical Benefits Scheme prescribing data for antidepressants for 2002-2007. The main outcome measures were prevalence and treatment (rates per 1000 population) and antidepressant utilization (defined daily dose 1000 population(-1) day-1) by gender and age (5 and 10 year age groups).\nRESULTS: The prevalence and treatment of affective and anxiety disorder are highest in those aged &lt;50, after which it declines rapidly. Rates for both are higher in women than men. Overall antidepressant use increased 41% over the study period (selective serotonin re-uptake inhibitors 44%, venlafaxine 75%). Sertraline held the majority of the market, followed by venlafaxine and citalopram. Utilization of antidepressants had a bimodal distribution with peaks in those aged in their late 50s and early 90s. The peak use of antidepressants was in those aged 90-94 years.\nCONCLUSION: There is poor alignment between the prevalence and self-reported treatment of affective and anxiety disorders in the community and the prescribing of medications for these disorders. It appears that older Australians are receiving antidepressant medications for reasons other than the treatment of conditions for which these drugs have marketing approval or for depressive and anxiety symptoms that do not reach the threshold for a diagnosis.","container-title":"The Australian and New Zealand Journal of Psychiatry","DOI":"10.3109/00048670903555138","ISSN":"1440-1614","issue":"6","journalAbbreviation":"Aust N Z J Psychiatry","language":"eng","note":"PMID: 20482411","page":"513-519","source":"PubMed","title":"Affective and anxiety disorders: prevalence, treatment and antidepressant medication use","title-short":"Affective and anxiety disorders","volume":"44","author":[{"family":"Hollingworth","given":"Samantha A."},{"family":"Burgess","given":"Philip M."},{"family":"Whiteford","given":"Harvey A."}],"issued":{"date-parts":[["2010",6]]}}},{"id":"dX9booob/OcNbQ6mF","uris":["http://zotero.org/users/local/0DUDweI1/items/Y3DXTWZT"],"itemData":{"id":1746,"type":"article-journal","abstract":"Background. This paper reports population data on DSM-IV generalized anxiety disorder from the Australian National Survey of Mental Health and Well-Being.Methods. The data were obtained from a nationwide household survey of adults using a stratified multi-stage sampling process. A response rate of 78·1% resulted in 10641 persons being interviewed. Diagnoses were made using the Composite International Diagnostic Interview. The interview was computerized and conducted by trained lay interviewers.Results. Prevalence in the total sample was 2·8% for 1-month GAD and 3·6% for 12-month GAD. Persons over 55 years of age were less likely to have GAD than those in the younger age groups. Logistic regression analysis also showed that a diagnosis of GAD was significantly associated with being of younger to middle age, being separated divorced or widowed, not having tertiary qualifications or being unemployed. Co-morbidity with another affective, anxiety, substance use or personality disorders was common, affecting 68% of the sample with 1-month DSM-IV GAD. GAD was associated with significant disablement, and 57% of the sample with DSM-IV GAD had consulted a health professional for a mental health problem in the prior 12 months.Conclusions. The survey provides population data on DSM-IV GAD and its correlates. GAD is a common disorder that is accompanied by significant morbidity and high rates of co-morbidity with affective and anxiety disorders, and is associated with marital status, education, employment status, but not sex. Changes to DSM-IV diagnostic criteria did not appear to affect the prevalence rate compared to previous population surveys.","container-title":"Psychological Medicine","DOI":"10.1017/S0033291702005512","ISSN":"1469-8978, 0033-2917","issue":"4","language":"en","note":"publisher: Cambridge University Press","page":"649-659","source":"Cambridge University Press","title":"DSM-IV generalized anxiety disorder in the Australian National Survey of Mental Health and Well-Being","volume":"32","author":[{"family":"Hunt","given":"C."},{"family":"Issakidis","given":"C."},{"family":"Andrews","given":"G."}],"issued":{"date-parts":[["2002",5]]}}},{"id":"dX9booob/nxOldVFT","uris":["http://zotero.org/users/local/0DUDweI1/items/GLRRF7EZ"],"itemData":{"id":1748,"type":"article-journal","abstract":"PURPOSE. This study aims to determine the 12-month and lifetime prevalence of generalized anxiety disorder (GAD) and its sociodemographic correlates. DESIGN AND METHODS. A total of 5,926 subjects were randomly selected and interviewed. FINDINGS. The overall 12-month and lifetime prevalence of GAD was 0.8%, and 1.2%, respectively. Being older than 25 years and female, lower education level, unemployed status, and lower (&lt;RMB500/month) or higher (&gt;RMB2000/month) monthly income were associated with increased risk of GAD. PRACTICE IMPLICATIONS. The low percentage of subjects treated for GAD indicates a major public health problem that should be addressed.","container-title":"Perspectives in Psychiatric Care","DOI":"10.1111/j.1744-6163.2009.00212.x","ISSN":"1744-6163","issue":"2","language":"en","note":"_eprint: https://onlinelibrary.wiley.com/doi/pdf/10.1111/j.1744-6163.2009.00212.x","page":"119-127","source":"Wiley Online Library","title":"Generalized Anxiety Disorder in China: Prevalence, Sociodemographic Correlates, Comorbidity, and Suicide Attempts","title-short":"Generalized Anxiety Disorder in China","volume":"45","author":[{"family":"Ma","given":"Xin"},{"family":"Xiang","given":"Yu-Tao"},{"family":"Cai","given":"Zhuo-Ji"},{"family":"Lu","given":"Jin-Yan"},{"family":"Li","given":"Shu-Ran"},{"family":"Xiang","given":"Ying-Qiang"},{"family":"Guo","given":"Hong-Li"},{"family":"Hou","given":"Ye-Zhi"},{"family":"Li","given":"Zhen-Bo"},{"family":"Li","given":"Zhan-Jiang"},{"family":"Tao","given":"Yu-Fen"},{"family":"Dang","given":"Wei-Min"},{"family":"Wu","given":"Xiao-Mei"},{"family":"Deng","given":"Jing"},{"family":"Lai","given":"Kelly Y. C."},{"family":"Ungvari","given":"Gabor S."}],"issued":{"date-parts":[["2009"]]}},"label":"page"},{"id":"dX9booob/gL5oe3fJ","uris":["http://zotero.org/users/local/0DUDweI1/items/76ICKNXR"],"itemData":{"id":1743,"type":"article-journal","container-title":"Psychiatric Services","DOI":"10.1176/ps.2006.57.12.1738","ISSN":"1075-2730","issue":"12","journalAbbreviation":"PS","note":"publisher: American Psychiatric Publishing","page":"1738-1744","source":"ps.psychiatryonline.org (Atypon)","title":"Prevalence of Generalized Anxiety Disorder in General Practice in Denmark, Finland, Norway, and Sweden","volume":"57","author":[{"family":"Munk-Jørgensen","given":"Povl"},{"family":"Allgulander","given":"Christer"},{"family":"Dahl","given":"Alv A."},{"family":"Foldager","given":"Leslie"},{"family":"Holm","given":"Marthin"},{"family":"Rasmussen","given":"Ib"},{"family":"Virta","given":"Anti"},{"family":"Huuhtanen","given":"Marja-Terttu"},{"family":"Wittchen","given":"Hans-Ulrich"}],"issued":{"date-parts":[["2006",12,1]]}}},{"id":"dX9booob/OjFkZ8dZ","uris":["http://zotero.org/users/local/0DUDweI1/items/3GF5YE7H"],"itemData":{"id":1750,"type":"article-journal","abstract":"Background A fragmented research field exists on the prevalence of anxiety disorders. Here, we present the results of a systematic review of reviews on this topic. We included the highest quality studies to inform practice and policy on this issue. Method Using PRISMA methodology, extensive electronic and manual citation searches were performed to identify relevant reviews. Screening, data extraction, and quality assessment were undertaken by two reviewers. Inclusion criteria consisted of systematic reviews or meta-analyses on the prevalence of anxiety disorders that fulfilled at least half of the AMSTAR quality criteria. Results We identified a total of 48 reviews and described the prevalence of anxiety across population subgroups and settings, as reported by these studies. Despite the high heterogeneity of prevalence estimates across primary studies, there was emerging and compelling evidence of substantial prevalence of anxiety disorders generally (3.8–25%), and particularly in women (5.2–8.7%); young adults (2.5–9.1%); people with chronic diseases (1.4–70%); and individuals from Euro/Anglo cultures (3.8–10.4%) versus individuals from Indo/Asian (2.8%), African (4.4%), Central/Eastern European (3.2%), North African/Middle Eastern (4.9%), and Ibero/Latin cultures (6.2%). Conclusions The prevalence of anxiety disorders is high in population subgroups across the globe. Recent research has expanded its focus to Asian countries, an increasingly greater number of physical and psychiatric conditions, and traumatic events associated with anxiety. Further research on illness trajectories and anxiety levels pre- and post-treatment is needed. Few studies have been conducted in developing and under-developed parts of the world and have little representation in the global literature.","container-title":"Brain and Behavior","DOI":"10.1002/brb3.497","ISSN":"2162-3279","issue":"7","language":"en","note":"_eprint: https://onlinelibrary.wiley.com/doi/pdf/10.1002/brb3.497","page":"e00497","source":"Wiley Online Library","title":"A systematic review of reviews on the prevalence of anxiety disorders in adult populations","volume":"6","author":[{"family":"Remes","given":"Olivia"},{"family":"Brayne","given":"Carol"},{"family":"Linde","given":"Rianne","dropping-particle":"van der"},{"family":"Lafortune","given":"Louise"}],"issued":{"date-parts":[["2016"]]}}}],"schema":"https://github.com/citation-style-language/schema/raw/master/csl-citation.json"} </w:instrText>
      </w:r>
      <w:r w:rsidR="00E576E1" w:rsidRPr="00BC0B96">
        <w:fldChar w:fldCharType="separate"/>
      </w:r>
      <w:r w:rsidR="00563A6D" w:rsidRPr="00BC0B96">
        <w:rPr>
          <w:rFonts w:ascii="Calibri" w:hAnsi="Calibri" w:cs="Calibri"/>
        </w:rPr>
        <w:t>(6–11)</w:t>
      </w:r>
      <w:r w:rsidR="00E576E1" w:rsidRPr="00BC0B96">
        <w:fldChar w:fldCharType="end"/>
      </w:r>
      <w:r w:rsidR="00E576E1" w:rsidRPr="00BC0B96">
        <w:t xml:space="preserve">. </w:t>
      </w:r>
      <w:r w:rsidR="002F0A82" w:rsidRPr="00BC0B96">
        <w:t>Sex differences in anxiety diagnoses emerge d</w:t>
      </w:r>
      <w:r w:rsidR="00E576E1" w:rsidRPr="00BC0B96">
        <w:rPr>
          <w:rFonts w:ascii="Calibri" w:eastAsia="Calibri" w:hAnsi="Calibri" w:cs="Calibri"/>
        </w:rPr>
        <w:t>uring puberty</w:t>
      </w:r>
      <w:r w:rsidR="00E576E1" w:rsidRPr="00BC0B96">
        <w:t xml:space="preserve"> </w:t>
      </w:r>
      <w:r w:rsidR="00E576E1" w:rsidRPr="00BC0B96">
        <w:fldChar w:fldCharType="begin"/>
      </w:r>
      <w:r w:rsidR="00C327F5">
        <w:instrText xml:space="preserve"> ADDIN ZOTERO_ITEM CSL_CITATION {"citationID":"9RL7iuGH","properties":{"formattedCitation":"(12\\uc0\\u8211{}15)","plainCitation":"(12–15)","noteIndex":0},"citationItems":[{"id":"dX9booob/pxeH5wDQ","uris":["http://zotero.org/users/local/0DUDweI1/items/ES5NQYZB"],"itemData":{"id":1560,"type":"article-journal","abstract":"CONTEXT: Epidemiological findings demonstrating an increased risk for individuals with social anxiety disorder (SAD) to develop depression have been challenged by discrepant findings from prospective longitudinal examinations in childhood and early adolescence.\nOBJECTIVES: To examine patterns of SAD incidence, the consistency of associations of SAD with subsequent depression, and distal and proximal predictors for subsequent depression.\nDESIGN: Face-to-face, 10-year prospective longitudinal and family study of up to 4 waves. The DSM-IV Munich-Composite International Diagnostic Interview was administered by clinically trained interviewers.\nSETTING: Community sample in Munich.\nPARTICIPANTS: Three thousand twenty-one individuals aged 14 to 24 years at baseline and 21 to 34 years at follow-up.\nMAIN OUTCOME MEASURES: Cumulative incidence of SAD and depression (major depressive episode or dysthymia).\nRESULTS: Cumulative incidence for SAD was 11.0%; for depression, 27.0%. Standardized person-years of incidence for SAD were highest for those aged 10 to 19 years (0.72%) and were low before (0.20%) and after (0.19%) that age range. Depression incidence was different, characterized by delayed and continued high rates. Social anxiety disorder was consistently associated with subsequent depression, independent of age at onset for SAD (relative risk range, 1.49-1.85, controlling for age and sex). Crude Cox regressions showed significant distal (eg, parental anxiety or depression, behavioral inhibition) and proximal SAD characteristics (eg, severity measures, persistence) as predictors. Most associations were attenuated in multiple models, leaving behavioral inhibition (hazard ratio, 1.30 [95% confidence interval, 1.04-1.62; P = .02]) and, less consistently, panic (hazard ratio, 1.85 [95% confidence interval, 1.08-3.18; P = .03]) as the remaining significant predictors.\nCONCLUSIONS: Social anxiety disorder is an early, adolescent-onset disorder related to a substantially and consistently increased risk for subsequent depression. The demonstration of proximal and particularly distal predictors for increased depression risks requires further exploration to identify their moderator or mediator role. Along with previous evidence that comorbid SAD is associated with a more malignant course and character of depression, these results call for targeted prevention with the aim of reducing the burden of SAD and its consequences.","container-title":"Archives of General Psychiatry","DOI":"10.1001/archpsyc.64.8.903","ISSN":"0003-990X","issue":"8","journalAbbreviation":"Arch. Gen. Psychiatry","language":"eng","note":"PMID: 17679635","page":"903-912","source":"PubMed","title":"Incidence of social anxiety disorder and the consistent risk for secondary depression in the first three decades of life","volume":"64","author":[{"family":"Beesdo","given":"Katja"},{"family":"Bittner","given":"Antje"},{"family":"Pine","given":"Daniel S."},{"family":"Stein","given":"Murray B."},{"family":"Höfler","given":"Michael"},{"family":"Lieb","given":"Roselind"},{"family":"Wittchen","given":"Hans-Ulrich"}],"issued":{"date-parts":[["2007",8]]}}},{"id":"dX9booob/hVd8UNP4","uris":["http://zotero.org/users/local/0DUDweI1/items/WSPQHJ3Q"],"itemData":{"id":1153,"type":"article-journal","abstract":"This article introduces and summarizes the goals of the symposium. It also provides an overview of a conceptual framework for understanding adolescence, which emphasizes how the very nature of this developmental transition requires an interdisciplinary approach-one that focuses on brain/behavior/social-context interactions during this important maturational period. More specifically it describes a set of neurobehavioral changes that appear to be linked to pubertal development, which appear to have a significant effect on motivation and emotion, and considers these puberty-specific changes in affect in relation to a much larger set of developmental changes in adolescence. This framework is used to argue for the need for a transdisciplinary dialogue that brings together work in several areas of neuroscience (including animal models) and normal development with clinical and social policy research aimed at early intervention and prevention strategies.","container-title":"Annals of the New York Academy of Sciences","DOI":"10.1196/annals.1308.001","ISSN":"0077-8923","journalAbbreviation":"Ann. N. Y. Acad. Sci.","language":"eng","note":"PMID: 15251869","page":"1-22","source":"PubMed","title":"Adolescent brain development: a period of vulnerabilities and opportunities. Keynote address","title-short":"Adolescent brain development","volume":"1021","author":[{"family":"Dahl","given":"Ronald E."}],"issued":{"date-parts":[["2004",6]]}},"label":"page"},{"id":"dX9booob/hmUHveiO","uris":["http://zotero.org/users/local/0DUDweI1/items/3MQBLDJA"],"itemData":{"id":1157,"type":"article-journal","abstract":"Adolescent development is accompanied by the emergence of a population-wide increase in vulnerability to depression that is maintained through adulthood. We provide a model for understanding how this vulnerability to depression arises, and why depression is so often precipitated by social rejection or loss of status during this phase. There is substantial remodeling and maturation of the dopaminergic reward system and the prefrontal cortex during adolescence, that coincides with the adolescent entering the complex world of adult peer and romantic relationships, where the rewards that can be obtained (feelings such as belonging, romantic love, status and agency) are abstract and temporally distant from the proximal context. Development of the prefrontal cortex makes it possible to pursue such complex and distal rewards, which are, however, tenuous and more readily frustrated than more immediate rewards. We hypothesize that when these distant rewards are frustrated they suppress the reward system, and that when such suppression is extensive and occurs for long enough, the clinical picture that results is one of depression.","container-title":"Neuroscience and Biobehavioral Reviews","DOI":"10.1016/j.neubiorev.2007.04.016","ISSN":"0149-7634","issue":"1","journalAbbreviation":"Neurosci Biobehav Rev","language":"eng","note":"PMID: 17570526","page":"1-19","source":"PubMed","title":"The emergence of depression in adolescence: development of the prefrontal cortex and the representation of reward","title-short":"The emergence of depression in adolescence","volume":"32","author":[{"family":"Davey","given":"Christopher G."},{"family":"Yücel","given":"Murat"},{"family":"Allen","given":"Nicholas B."}],"issued":{"date-parts":[["2008"]]}},"label":"page"},{"id":"dX9booob/igyP192m","uris":["http://zotero.org/users/local/0DUDweI1/items/BHX5YCF2"],"itemData":{"id":"EVUqcr4g/SZBuNJTx","type":"article-journal","title":"Gender–age interaction in incidence rates of childhood emotional disorders","container-title":"Psychological Medicine","page":"829-839","volume":"45","issue":"4","source":"Cambridge Core","abstract":"Background\nThe post-pubertal association of female gender with emotional disorder is a robust finding. However, studies exploring the association of gender and emotional disorders before puberty are few and present diverging results. The aim of this study was to present gender-specific incidence rates of emotional disorders throughout childhood.\n\n\nMethod\nThis is a population-based cohort study of 907 806 Danish 3- to 18-year-olds. The outcome was assignment of an emotional disorder diagnosis based on in-patient and out-patient data from The Danish Psychiatric Central Register. Outcome measures were incidence rates and cumulative incidences for unipolar depressive disorder (ICD-10: F32–F33), anxiety disorders (ICD-10: F40–F42), and emotional disorders with onset specific to childhood (ICD-10: F93).\n\n\nResults\nPre-pubertal incidence rates for depressive and anxiety disorders were higher for boys than girls. At age 12 years the pattern reversed. The cumulative incidence for any emotional disorder (F32–F33, F40–F42, F93) on the 11th birthday was 0.52% (95% CI 0.50–0.55) for boys and 0.31% (95% CI 0.29–0.33) for girls. On the 19th birthday cumulative incidence was 2.33% (95% CI 2.24–2.43) for boys and 3.77% (95% CI 3.64–3.90) for girls. The pre-pubertal male preponderance was also significant for depressive disorders (F32–F33, p = 0.00144) and anxiety disorders (F40–F42, F93, p &lt; 0.00001) separately.\n\n\nConclusions\nEmotional disorders seem to display a male preponderance before the age of 12 years and a female preponderance thereafter. Studies exploring this gender–age interaction are needed. Still, the results question the general assumption that females throughout the lifespan are more at risk for emotional disorders than males.","DOI":"10.1017/S0033291714001901","ISSN":"0033-2917, 1469-8978","language":"en","author":[{"family":"Wesselhoeft","given":"R."},{"family":"Pedersen","given":"C. B."},{"family":"Mortensen","given":"P. B."},{"family":"Mors","given":"O."},{"family":"Bilenberg","given":"N."}],"issued":{"date-parts":[["2015",3]]}},"label":"page"}],"schema":"https://github.com/citation-style-language/schema/raw/master/csl-citation.json"} </w:instrText>
      </w:r>
      <w:r w:rsidR="00E576E1" w:rsidRPr="00BC0B96">
        <w:fldChar w:fldCharType="separate"/>
      </w:r>
      <w:r w:rsidR="00563A6D" w:rsidRPr="00BC0B96">
        <w:rPr>
          <w:rFonts w:ascii="Calibri" w:hAnsi="Calibri" w:cs="Calibri"/>
        </w:rPr>
        <w:t>(12–15)</w:t>
      </w:r>
      <w:r w:rsidR="00E576E1" w:rsidRPr="00BC0B96">
        <w:fldChar w:fldCharType="end"/>
      </w:r>
      <w:r w:rsidR="002B648F" w:rsidRPr="00BC0B96">
        <w:t xml:space="preserve">. </w:t>
      </w:r>
      <w:r w:rsidR="0067717C" w:rsidRPr="00BC0B96">
        <w:t xml:space="preserve">Puberty is </w:t>
      </w:r>
      <w:r w:rsidR="0067717C" w:rsidRPr="00BC0B96">
        <w:rPr>
          <w:rFonts w:ascii="Calibri" w:eastAsia="Calibri" w:hAnsi="Calibri" w:cs="Calibri"/>
        </w:rPr>
        <w:t xml:space="preserve">a key developmental stage characterized by changes in physiological stress responses </w:t>
      </w:r>
      <w:r w:rsidR="0067717C" w:rsidRPr="00BC0B96">
        <w:fldChar w:fldCharType="begin"/>
      </w:r>
      <w:r w:rsidR="00C327F5">
        <w:instrText xml:space="preserve"> ADDIN ZOTERO_ITEM CSL_CITATION {"citationID":"E9nqkCQa","properties":{"formattedCitation":"(16)","plainCitation":"(16)","noteIndex":0},"citationItems":[{"id":"dX9booob/zRN7fJUF","uris":["http://zotero.org/users/local/Y6rHm1NE/items/RUIWFUJ7"],"itemData":{"id":46,"type":"article-journal","abstract":"Recent research has suggested that the pubertal period provides an opportunity for recalibrating the stress-responsive systems in youth whose responses to stress have been altered by early adversity. Such recalibration may have cascading effects that affect brain and behavioral development. In this article, we consider a large, cross-species literature to demonstrate the potential importance of pubertal stress recalibration for understanding the development of psychopathology following early deprivation by caregivers. We review the evidence for recalibration of the hypothalamic-pituitary-adrenal axis in humans, examine research on rodents that has established mechanisms through which stress hormones affect brain structure and function, and summarize the literature on human neuroimaging to assess how these mechanisms may translate into changes in human behavior. Finally, we suggest ideas for elucidating the consequences of pubertal stress recalibration that will improve our understanding of adaptive and maladaptive adolescent behavior following early adversity.","container-title":"Child Development Perspectives","DOI":"10.1111/cdep.12429","ISSN":"1750-8606","issue":"4","language":"en","note":"_eprint: https://onlinelibrary.wiley.com/doi/pdf/10.1111/cdep.12429","page":"249-256","source":"Wiley Online Library","title":"The pubertal stress recalibration hypothesis: Potential neural and behavioral consequences","title-short":"The pubertal stress recalibration hypothesis","volume":"15","author":[{"family":"DePasquale","given":"Carrie E."},{"family":"Herzberg","given":"Max P."},{"family":"Gunnar","given":"Megan R."}],"issued":{"date-parts":[["2021"]]}}}],"schema":"https://github.com/citation-style-language/schema/raw/master/csl-citation.json"} </w:instrText>
      </w:r>
      <w:r w:rsidR="0067717C" w:rsidRPr="00BC0B96">
        <w:fldChar w:fldCharType="separate"/>
      </w:r>
      <w:r w:rsidR="00563A6D" w:rsidRPr="00BC0B96">
        <w:rPr>
          <w:rFonts w:ascii="Calibri" w:hAnsi="Calibri" w:cs="Calibri"/>
        </w:rPr>
        <w:t>(16)</w:t>
      </w:r>
      <w:r w:rsidR="0067717C" w:rsidRPr="00BC0B96">
        <w:fldChar w:fldCharType="end"/>
      </w:r>
      <w:r w:rsidR="0067717C" w:rsidRPr="00BC0B96">
        <w:t xml:space="preserve"> as well as</w:t>
      </w:r>
      <w:r w:rsidR="0067717C" w:rsidRPr="00BC0B96">
        <w:rPr>
          <w:rFonts w:ascii="Calibri" w:eastAsia="Calibri" w:hAnsi="Calibri" w:cs="Calibri"/>
        </w:rPr>
        <w:t xml:space="preserve"> cortical and sub-cortical reorganization</w:t>
      </w:r>
      <w:r w:rsidR="0067717C" w:rsidRPr="00BC0B96">
        <w:t xml:space="preserve"> </w:t>
      </w:r>
      <w:r w:rsidR="0067717C" w:rsidRPr="00BC0B96">
        <w:fldChar w:fldCharType="begin"/>
      </w:r>
      <w:r w:rsidR="0067717C" w:rsidRPr="00BC0B96">
        <w:instrText xml:space="preserve"> ADDIN ZOTERO_ITEM CSL_CITATION {"citationID":"HbhAEY5G","properties":{"formattedCitation":"(17\\uc0\\u8211{}19)","plainCitation":"(17–19)","noteIndex":0},"citationItems":[{"id":9052,"uris":["http://zotero.org/users/5661202/items/I3Q8JDIG"],"itemData":{"id":9052,"type":"article-journal","abstract":"Over the past two decades, there has been a tremendous increase in our understanding of structural and functional brain development in adolescence. However, understanding the role of puberty in this process has received much less attention. This review examines this relationship by summarizing recent research studies where the role of puberty was investigated in relation to brain structure, connectivity, and task-related functional magnetic resonance imaging (fMRI). The studies together suggest that puberty may contribute to adolescent neural reorganization and maturational advancement, and sex differences also emerge in puberty. The current body of work shows some mixed results regarding impact and exact direction of pubertal influence. We discuss several limitations of current studies and propose future directions on how to move the field forward.","container-title":"Journal of Research on Adolescence","DOI":"10.1111/jora.12408","ISSN":"1532-7795","issue":"1","language":"en","note":"_eprint: https://onlinelibrary.wiley.com/doi/pdf/10.1111/jora.12408","page":"32-53","source":"Wiley Online Library","title":"Understanding the Role of Puberty in Structural and Functional Development of the Adolescent Brain","volume":"29","author":[{"family":"Goddings","given":"Anne-Lise"},{"family":"Beltz","given":"Adriene"},{"family":"Peper","given":"Jiska S."},{"family":"Crone","given":"Eveline A."},{"family":"Braams","given":"Barbara R."}],"issued":{"date-parts":[["2019"]]}}},{"id":9005,"uris":["http://zotero.org/users/5661202/items/52WZ3BDA"],"itemData":{"id":9005,"type":"article-journal","abstract":"The role of the prefrontal cortex (PFC) takes center stage among unanswered questions in modern neuroscience. The PFC has a Janus-faced nature: it enables sophisticated cognitive and social abilities that reach their maximum expression in humans, yet it underlies some of the devastating symptoms of psychiatric disorders. Accordingly, appropriate prefrontal development is crucial for many high-order cognitive abilities and dysregulation of this process has been linked to various neuropsychiatric diseases. Reviewing recent advances in the field, with a primary focus on rodents and humans, we highlight why, despite differences across species, a cross-species approach is a fruitful strategy for understanding prefrontal development. We briefly review the developmental contribution of molecules and extensively discuss how electrical activity controls the early maturation and wiring of prefrontal areas, as well as the emergence and refinement of input–output circuitry involved in cognitive processing. Finally, we highlight the mechanisms of developmental dysfunction and their relevance for psychiatric disorders.","container-title":"Trends in Neurosciences","DOI":"10.1016/j.tins.2020.10.017","ISSN":"0166-2236","issue":"3","journalAbbreviation":"Trends in Neurosciences","language":"en","page":"227-240","source":"ScienceDirect","title":"Prefrontal Cortex Development in Health and Disease: Lessons from Rodents and Humans","title-short":"Prefrontal Cortex Development in Health and Disease","volume":"44","author":[{"family":"Chini","given":"Mattia"},{"family":"Hanganu-Opatz","given":"Ileana L."}],"issued":{"date-parts":[["2021",3,1]]}}},{"id":8904,"uris":["http://zotero.org/users/5661202/items/ZHXRFIRA"],"itemData":{"id":8904,"type":"article-journal","abstract":"The prefrontal cortex (PFC) is a cortical structure involved in a variety of complex functions in the cognitive and affective domains. The intrinsic function of the PFC is defined by the interaction of local glutamatergic and GABAergic neurons and their modulation by long-range inputs. The ensuing interactions generate a ratio of excitation and inhibition (E-I) in each output neuron, a balance which is refined during the adolescent to adult transition. In this short review, we aim to describe how an increase in GABAergic transmission during adolescence modifies the E-I ratio in adults. We further discuss how this new setpoint may change the dynamics of PFC networks observed during the transition to adulthood.","collection-title":"Special issue: Cortical Development edited by Helen Cooper and Cecilia Flores / Special issue: Heart generation and regeneration edited by Chulan Kwon and Emmanouil Tampakakis","container-title":"Seminars in Cell &amp; Developmental Biology","DOI":"10.1016/j.semcdb.2021.02.008","ISSN":"1084-9521","journalAbbreviation":"Seminars in Cell &amp; Developmental Biology","language":"en","page":"60-63","source":"ScienceDirect","title":"Developmental regulation of excitatory-inhibitory synaptic balance in the prefrontal cortex during adolescence","volume":"118","author":[{"family":"Caballero","given":"Adriana"},{"family":"Orozco","given":"Amanda"},{"family":"Tseng","given":"Kuei Y."}],"issued":{"date-parts":[["2021",10,1]]}}}],"schema":"https://github.com/citation-style-language/schema/raw/master/csl-citation.json"} </w:instrText>
      </w:r>
      <w:r w:rsidR="0067717C" w:rsidRPr="00BC0B96">
        <w:fldChar w:fldCharType="separate"/>
      </w:r>
      <w:r w:rsidR="0067717C" w:rsidRPr="00BC0B96">
        <w:rPr>
          <w:rFonts w:ascii="Calibri" w:hAnsi="Calibri" w:cs="Calibri"/>
        </w:rPr>
        <w:t>(17–19)</w:t>
      </w:r>
      <w:r w:rsidR="0067717C" w:rsidRPr="00BC0B96">
        <w:fldChar w:fldCharType="end"/>
      </w:r>
      <w:r w:rsidR="0067717C" w:rsidRPr="00BC0B96">
        <w:t xml:space="preserve">. </w:t>
      </w:r>
      <w:r w:rsidR="00F80A69" w:rsidRPr="00BC0B96">
        <w:t>Preclinical studies show that</w:t>
      </w:r>
      <w:r w:rsidR="00DF56CA" w:rsidRPr="00BC0B96">
        <w:t xml:space="preserve"> during puberty</w:t>
      </w:r>
      <w:r w:rsidR="00443085" w:rsidRPr="00BC0B96">
        <w:t>,</w:t>
      </w:r>
      <w:r w:rsidR="00F80A69" w:rsidRPr="00BC0B96">
        <w:t xml:space="preserve"> stressors </w:t>
      </w:r>
      <w:r w:rsidR="002232CA" w:rsidRPr="00BC0B96">
        <w:t xml:space="preserve">have stronger behavioral effects on behavior in females than males </w:t>
      </w:r>
      <w:r w:rsidR="002B648F" w:rsidRPr="00BC0B96">
        <w:fldChar w:fldCharType="begin"/>
      </w:r>
      <w:r w:rsidR="00563A6D" w:rsidRPr="00BC0B96">
        <w:instrText xml:space="preserve"> ADDIN ZOTERO_ITEM CSL_CITATION {"citationID":"5E04q1cj","properties":{"formattedCitation":"(20\\uc0\\u8211{}22)","plainCitation":"(20–22)","noteIndex":0},"citationItems":[{"id":9556,"uris":["http://zotero.org/users/5661202/items/392IIEUL"],"itemData":{"id":9556,"type":"article-journal","abstract":"Adolescence is a critical time of brain development for regions governing social behaviour and social learning. Social experiences influence the ongoing maturation of the neural structures and ultimately modify the social behaviour of adults in response to social cues. Social instability stress in adolescence (SS; daily 1-hour isolation + change of cage partner in postnatal days [PND] 30-45) leads to a long-lasting reduction in social interaction in SS rats compared with non-stressed (CTL) rats in males; here we investigate females. In a first experiment, we found that female rats exposed to adolescent SS also showed the decrement in social interaction irrespective of age at which tested, and replicated the effects previously found in males. In experiment 2, which involved females only, SS and CTL rats did not differ in anxiety-like behaviour in the elevated plus maze (EPM) and the reduction in social interaction was not significant. Nevertheless, when tested in adolescence at P47 (and not at P71), SS female rats had higher corticosterone release during the social interaction test than did CTL rats, and they exhibited a different pattern of neural activation as measured by immunoreactivity to the protein products of zif268 and c-fos (SS &lt; CTL in medial prefrontal cortex and SS &gt; CTL in hippocampus), and reduced oxytocin immunoreactivity in the paraventricular nucleus of the hypothalamus than did CTL rats. These results extend our previous findings of effects of SS in adolescent female rats on behavioural responses to psychostimulants to social behaviour, and point to directions for investigations of the neural mechanisms involved.","container-title":"Neuroscience","DOI":"10.1016/j.neuroscience.2021.09.022","ISSN":"1873-7544","journalAbbreviation":"Neuroscience","language":"eng","note":"PMID: 34619317","page":"1-13","source":"PubMed","title":"Social Instability Stress in Adolescence and Social Interaction in Female Rats","volume":"477","author":[{"family":"Asgari","given":"Pardis"},{"family":"McKinney","given":"Ghraer"},{"family":"Hodges","given":"Travis E."},{"family":"McCormick","given":"Cheryl M."}],"issued":{"date-parts":[["2021",11,21]]}}},{"id":9558,"uris":["http://zotero.org/users/5661202/items/8URAMVNG"],"itemData":{"id":9558,"type":"article-journal","abstract":"Adolescence is a critical time of social learning in which both the quantity and quality of social interactions shape adult behavior and social function. During adolescence, social instability such as disrupting or limiting social interactions can lead to negative life-long effects on mental health and well-being in humans. Animal models on social instability are critically important in understanding those underlying neurobiological mechanisms. However, studies in rats using these models have produced partly inconsistent results and can be difficult to generalize. Here we assessed in a sex and age consistent manner the long-term behavioural consequences of social instability stress (SIS - 1-hr daily isolation and change in cage mate between postnatal day (PD30–45)) in Wistar rats. Female and male rats underwent a battery of tests for anxiety-like, exploratory, and social behaviour over five days beginning either in adolescence (PD46) or in adulthood (PD70). Social instability led to reduced anxiety-like behaviour in the elevated plus maze in both sexes in adolescence and in adulthood. Social interactions were also reduced in rats that underwent SIS – an effect that was independent of sex and age when tested. SIS improved social recognition memory in both sexes whereas a sex-dependent effect was seen in the social novelty preference test where male rats that underwent SIS spent more time in social approach toward a novel peer than toward their cage mate. In comparison, control male and female groups did not differ in this test, in time spent with novel versus the cage mate. Thus, overall, social instability stress in Wistar rats altered the behavioural repertoire, with enduring alterations in social behaviour, enhanced exploratory behaviour, and reduced anxiety-like behaviour. In conclusion, the social instability stress paradigm may better be interpreted as a form of enrichment in Wistar rats than as a stressor.","container-title":"Behavioural Brain Research","DOI":"10.1016/j.bbr.2022.114180","ISSN":"0166-4328","journalAbbreviation":"Behavioural Brain Research","language":"en","page":"114180","source":"ScienceDirect","title":"Acute and long-term sex-dependent effects of social instability stress on anxiety-like and social behaviours in Wistar rats","volume":"438","author":[{"family":"Graf","given":"Akseli"},{"family":"Murray","given":"Shealin H."},{"family":"Eltahir","given":"Akif"},{"family":"Patel","given":"Smit"},{"family":"Hansson","given":"Anita C."},{"family":"Spanagel","given":"Rainer"},{"family":"McCormick","given":"Cheryl M."}],"issued":{"date-parts":[["2023",2,13]]}}},{"id":1595,"uris":["http://zotero.org/users/5661202/items/JDAWQVJ3"],"itemData":{"id":1595,"type":"article-journal","container-title":"Hormones and Behavior","page":"112-120","title":"Behavioral effects of chronic adolescent stress are sustained and sexually dimorphic","volume":"60","author":[{"family":"Bourke","given":"C H"},{"family":"Neigh","given":"Gretchen N"}],"issued":{"date-parts":[["2011"]]}}}],"schema":"https://github.com/citation-style-language/schema/raw/master/csl-citation.json"} </w:instrText>
      </w:r>
      <w:r w:rsidR="002B648F" w:rsidRPr="00BC0B96">
        <w:fldChar w:fldCharType="separate"/>
      </w:r>
      <w:r w:rsidR="00563A6D" w:rsidRPr="00BC0B96">
        <w:rPr>
          <w:rFonts w:ascii="Calibri" w:hAnsi="Calibri" w:cs="Calibri"/>
        </w:rPr>
        <w:t>(20–22)</w:t>
      </w:r>
      <w:r w:rsidR="002B648F" w:rsidRPr="00BC0B96">
        <w:fldChar w:fldCharType="end"/>
      </w:r>
      <w:r w:rsidR="007C75F7" w:rsidRPr="00BC0B96">
        <w:t>. A</w:t>
      </w:r>
      <w:r w:rsidR="002232CA" w:rsidRPr="00BC0B96">
        <w:t>lthough the cause of these differences is unknow</w:t>
      </w:r>
      <w:r w:rsidR="00726FAB" w:rsidRPr="00BC0B96">
        <w:t>n</w:t>
      </w:r>
      <w:r w:rsidR="00443085" w:rsidRPr="00BC0B96">
        <w:t>,</w:t>
      </w:r>
      <w:r w:rsidR="007C75F7" w:rsidRPr="00BC0B96">
        <w:t xml:space="preserve"> other </w:t>
      </w:r>
      <w:r w:rsidR="00443085" w:rsidRPr="00BC0B96">
        <w:t xml:space="preserve">studies </w:t>
      </w:r>
      <w:r w:rsidR="007C75F7" w:rsidRPr="00BC0B96">
        <w:t xml:space="preserve">show that gonadal hormones shape brain structure </w:t>
      </w:r>
      <w:r w:rsidR="007C75F7" w:rsidRPr="00BC0B96">
        <w:fldChar w:fldCharType="begin"/>
      </w:r>
      <w:r w:rsidR="007C75F7" w:rsidRPr="00BC0B96">
        <w:instrText xml:space="preserve"> ADDIN ZOTERO_ITEM CSL_CITATION {"citationID":"YuORjhID","properties":{"formattedCitation":"(23\\uc0\\u8211{}26)","plainCitation":"(23–26)","noteIndex":0},"citationItems":[{"id":6814,"uris":["http://zotero.org/users/5661202/items/R7T7DDQ9"],"itemData":{"id":6814,"type":"article-journal","abstract":"New cells, including neurons, arise in several brain regions during puberty in rats. Sex differences in pubertal addition of cells coincide with adult sexual dimorphisms: for each region, the sex that gains more cells during puberty has a larger volume in adulthood. Removing gonadal hormones before puberty eliminates these sex differences, indicating that gonadal steroids direct the addition of new cells during puberty to maintain and accentuate sexual dimorphisms in the adult brain.","container-title":"Nature Neuroscience","DOI":"10.1038/nn.2178","ISSN":"1546-1726","issue":"9","language":"en","license":"2008 Nature Publishing Group","page":"995-997","source":"www.nature.com","title":"Pubertal hormones modulate the addition of new cells to sexually dimorphic brain regions","volume":"11","author":[{"family":"Ahmed","given":"Eman I."},{"family":"Zehr","given":"Julia L."},{"family":"Schulz","given":"Kalynn M."},{"family":"Lorenz","given":"Betty H."},{"family":"DonCarlos","given":"Lydia L."},{"family":"Sisk","given":"Cheryl L."}],"issued":{"date-parts":[["2008",9]]}}},{"id":6521,"uris":["http://zotero.org/users/5661202/items/HMYC4LS2"],"itemData":{"id":6521,"type":"article-journal","abstract":"Sex hormones have easy access to the brain and their receptors are expressed by cortical neurons. Until recently, little was known about what impact, if any, they have on cortical processing. New data reveal that estradiol potently alters inhibitory neurotransmission in the neocortex.","container-title":"Current biology: CB","DOI":"10.1016/j.cub.2019.01.013","ISSN":"1879-0445","issue":"4","journalAbbreviation":"Curr. Biol.","language":"eng","note":"PMID: 30779899","page":"R122-R125","source":"PubMed","title":"Neuroscience: Sex Hormones at Work in the Neocortex","title-short":"Neuroscience","volume":"29","author":[{"family":"Delevich","given":"Kristen"},{"family":"Piekarski","given":"David"},{"family":"Wilbrecht","given":"Linda"}],"issued":{"date-parts":[["2019",2,18]]}}},{"id":6519,"uris":["http://zotero.org/users/5661202/items/A65TMUMH"],"itemData":{"id":6519,"type":"article-journal","abstract":"Adolescence is a unique period of development, marked by maturation of the prefrontal cortex (PFC), a region important for executive functioning. During this time, the human PFC decreases in overall volume and thickness. Likewise in adolescent rodents, losses of neurons, dendrites, dendritic spines and neurotransmitter receptors have been documented within the medial prefrontal cortex (mPFC), sometimes with sex and layer specificity. However, changes in the number of synapses during this time have not been examined. In the present study, we stereologically quantified the number of synaptophysin-immunoreactive boutons in the male and female rat mPFC across multiple time points from the juvenile period through adulthood (postnatal days (P) 25, 35, 45, 60 and 90). In females, there was a significant decrease in synaptophysin boutons between P35 and P45, coinciding with the onset of puberty. In males, there was no significant main effect of age on synaptophysin boutons; however, in both males and females, pubertal onset was associated with significant synaptic losses. These results suggest that puberty is a critical period for synaptic pruning within the rat mPFC, potentially contributing to maturation of adolescent executive function. Synapse 70:361-368, 2016. © 2016 Wiley Periodicals, Inc.","container-title":"Synapse (New York, N.Y.)","DOI":"10.1002/syn.21909","ISSN":"1098-2396","issue":"9","journalAbbreviation":"Synapse","language":"eng","note":"PMID: 27103097\nPMCID: PMC4945496","page":"361-368","source":"PubMed","title":"Synaptic number changes in the medial prefrontal cortex across adolescence in male and female rats: A role for pubertal onset","title-short":"Synaptic number changes in the medial prefrontal cortex across adolescence in male and female rats","volume":"70","author":[{"family":"Drzewiecki","given":"Carly M."},{"family":"Willing","given":"Jari"},{"family":"Juraska","given":"Janice M."}],"issued":{"date-parts":[["2016"]]}}},{"id":6655,"uris":["http://zotero.org/users/5661202/items/WJLUPHES"],"itemData":{"id":6655,"type":"article-journal","abstract":"Adolescence is a developmental period characterized by dramatic changes in cognition, risk-taking and social behavior. Although gonadal steroid hormones are well-known mediators of these behaviors in adulthood, the role gonadal steroid hormones play in shaping the adolescent brain and behavioral development has only come to light in recent years. Here we discuss the sex-specific impact of gonadal steroid hormones on the developing adolescent brain. Indeed, the effects of gonadal steroid hormones during adolescence on brain structure and behavioral outcomes differs markedly between the sexes. Research findings suggest that adolescence, like the perinatal period, is a sensitive period for the sex-specific effects of gonadal steroid hormones on brain and behavioral development. Furthermore, evidence from studies on male sexual behavior suggests that adolescence is part of a protracted postnatal sensitive period that begins perinatally and ends following adolescence. As such, the perinatal and peripubertal periods of brain and behavioral organization likely do not represent two discrete sensitive periods, but instead are the consequence of normative developmental timing of gonadal hormone secretions in males and females.","container-title":"Neuroscience and Biobehavioral Reviews","DOI":"10.1016/j.neubiorev.2016.07.036","ISSN":"1873-7528","journalAbbreviation":"Neurosci Biobehav Rev","language":"eng","note":"PMID: 27497718\nPMCID: PMC5074860","page":"148-158","source":"PubMed","title":"The organizing actions of adolescent gonadal steroid hormones on brain and behavioral development","volume":"70","author":[{"family":"Schulz","given":"Kalynn M."},{"family":"Sisk","given":"Cheryl L."}],"issued":{"date-parts":[["2016",11]]}}}],"schema":"https://github.com/citation-style-language/schema/raw/master/csl-citation.json"} </w:instrText>
      </w:r>
      <w:r w:rsidR="007C75F7" w:rsidRPr="00BC0B96">
        <w:fldChar w:fldCharType="separate"/>
      </w:r>
      <w:r w:rsidR="007C75F7" w:rsidRPr="00BC0B96">
        <w:rPr>
          <w:rFonts w:ascii="Calibri" w:hAnsi="Calibri" w:cs="Calibri"/>
        </w:rPr>
        <w:t>(23–26)</w:t>
      </w:r>
      <w:r w:rsidR="007C75F7" w:rsidRPr="00BC0B96">
        <w:fldChar w:fldCharType="end"/>
      </w:r>
      <w:r w:rsidR="007C75F7" w:rsidRPr="00BC0B96">
        <w:t xml:space="preserve">, function </w:t>
      </w:r>
      <w:r w:rsidR="007C75F7" w:rsidRPr="00BC0B96">
        <w:fldChar w:fldCharType="begin"/>
      </w:r>
      <w:r w:rsidR="007C75F7" w:rsidRPr="00BC0B96">
        <w:instrText xml:space="preserve"> ADDIN ZOTERO_ITEM CSL_CITATION {"citationID":"7G27v21e","properties":{"formattedCitation":"(27)","plainCitation":"(27)","noteIndex":0},"citationItems":[{"id":6520,"uris":["http://zotero.org/users/5661202/items/MXRESRLJ"],"itemData":{"id":6520,"type":"article-journal","abstract":"The maturation of the prefrontal cortex (PFC) during adolescence is thought to be important for cognitive and affective development and mental health risk. Whereas many summaries of adolescent development have focused on dendritic spine pruning and gray matter thinning in the PFC during adolescence, we highlight recent rodent data from our laboratory and others to call attention to continued synapse formation and plasticity in the adolescent period in specific cell types and circuits. In particular, we highlight changes in inhibitory neurotransmission onto intratelencephalic (IT-type) projecting cortical neurons and late expansion of connectivity between the amygdala and PFC and the ventral tegmental area and PFC. Continued work on these \"late blooming\" synapses in specific cell types and circuits, and their interrelationships, will illuminate new opportunities for understanding and shaping the biology of adolescent development. We also address which aspects of adolescent PFC development are dependent on pubertal processes.","container-title":"Cold Spring Harbor Symposia on Quantitative Biology","DOI":"10.1101/sqb.2018.83.037507","ISSN":"1943-4456","journalAbbreviation":"Cold Spring Harb. Symp. Quant. Biol.","language":"eng","note":"PMID: 30674651","source":"PubMed","title":"Adolescence and \"Late Blooming\" Synapses of the Prefrontal Cortex","author":[{"family":"Delevich","given":"Kristen"},{"family":"Thomas","given":"A. Wren"},{"family":"Wilbrecht","given":"Linda"}],"issued":{"date-parts":[["2019",1,23]]}}}],"schema":"https://github.com/citation-style-language/schema/raw/master/csl-citation.json"} </w:instrText>
      </w:r>
      <w:r w:rsidR="007C75F7" w:rsidRPr="00BC0B96">
        <w:fldChar w:fldCharType="separate"/>
      </w:r>
      <w:r w:rsidR="007C75F7" w:rsidRPr="00BC0B96">
        <w:rPr>
          <w:rFonts w:ascii="Calibri" w:hAnsi="Calibri" w:cs="Calibri"/>
        </w:rPr>
        <w:t>(27)</w:t>
      </w:r>
      <w:r w:rsidR="007C75F7" w:rsidRPr="00BC0B96">
        <w:fldChar w:fldCharType="end"/>
      </w:r>
      <w:r w:rsidR="007C75F7" w:rsidRPr="00BC0B96">
        <w:t>, and gene expression</w:t>
      </w:r>
      <w:r w:rsidR="009845E3" w:rsidRPr="00BC0B96">
        <w:t xml:space="preserve"> networks</w:t>
      </w:r>
      <w:r w:rsidR="007C75F7" w:rsidRPr="00BC0B96">
        <w:t xml:space="preserve"> </w:t>
      </w:r>
      <w:r w:rsidR="007C75F7" w:rsidRPr="00BC0B96">
        <w:fldChar w:fldCharType="begin"/>
      </w:r>
      <w:r w:rsidR="007C75F7" w:rsidRPr="00BC0B96">
        <w:instrText xml:space="preserve"> ADDIN ZOTERO_ITEM CSL_CITATION {"citationID":"lJuiAQlM","properties":{"formattedCitation":"(28)","plainCitation":"(28)","noteIndex":0},"citationItems":[{"id":8995,"uris":["http://zotero.org/users/5661202/items/XJFPSX8Y"],"itemData":{"id":8995,"type":"article-journal","abstract":"Oestradiol establishes neural sex differences in many vertebrates1–3 and modulates mood, behaviour and energy balance in adulthood4–8. In the canonical pathway, oestradiol exerts its effects through the transcription factor oestrogen receptor-α (ERα)9. Although ERα has been extensively characterized in breast cancer, the neuronal targets of ERα, and their involvement in brain sex differences, remain largely unknown. Here we generate a comprehensive map of genomic ERα-binding sites in a sexually dimorphic neural circuit that mediates social behaviours. We conclude that ERα orchestrates sexual differentiation of the mouse brain through two mechanisms: establishing two male-biased neuron types and activating a sustained male-biased gene expression program. Collectively, our findings reveal that sex differences in gene expression are defined by hormonal activation of neuronal steroid receptors. The molecular targets we identify may underlie the effects of oestradiol on brain development, behaviour and disease.","container-title":"Nature","DOI":"10.1038/s41586-022-04686-1","ISSN":"1476-4687","issue":"7912","language":"en","license":"2022 The Author(s)","note":"number: 7912\npublisher: Nature Publishing Group","page":"153-159","source":"www.nature.com","title":"Gene regulation by gonadal hormone receptors underlies brain sex differences","volume":"606","author":[{"family":"Gegenhuber","given":"B."},{"family":"Wu","given":"M. V."},{"family":"Bronstein","given":"R."},{"family":"Tollkuhn","given":"J."}],"issued":{"date-parts":[["2022",6]]}}}],"schema":"https://github.com/citation-style-language/schema/raw/master/csl-citation.json"} </w:instrText>
      </w:r>
      <w:r w:rsidR="007C75F7" w:rsidRPr="00BC0B96">
        <w:fldChar w:fldCharType="separate"/>
      </w:r>
      <w:r w:rsidR="007C75F7" w:rsidRPr="00BC0B96">
        <w:rPr>
          <w:rFonts w:ascii="Calibri" w:hAnsi="Calibri" w:cs="Calibri"/>
        </w:rPr>
        <w:t>(28)</w:t>
      </w:r>
      <w:r w:rsidR="007C75F7" w:rsidRPr="00BC0B96">
        <w:fldChar w:fldCharType="end"/>
      </w:r>
      <w:r w:rsidR="00C70E0C" w:rsidRPr="00BC0B96">
        <w:t xml:space="preserve"> that could influence </w:t>
      </w:r>
      <w:r w:rsidR="00443085" w:rsidRPr="00BC0B96">
        <w:t>stress responses</w:t>
      </w:r>
      <w:r w:rsidR="009845E3" w:rsidRPr="00BC0B96">
        <w:t>.</w:t>
      </w:r>
      <w:r w:rsidR="007C75F7" w:rsidRPr="00BC0B96">
        <w:t xml:space="preserve"> </w:t>
      </w:r>
      <w:r w:rsidR="00E576E1" w:rsidRPr="00BC0B96">
        <w:rPr>
          <w:rFonts w:ascii="Calibri" w:eastAsia="Calibri" w:hAnsi="Calibri" w:cs="Calibri"/>
        </w:rPr>
        <w:t>Human imaging studies show that neural circuits affected by anxiety change during puberty</w:t>
      </w:r>
      <w:r w:rsidR="00E576E1" w:rsidRPr="00BC0B96">
        <w:t xml:space="preserve"> </w:t>
      </w:r>
      <w:r w:rsidR="00E576E1" w:rsidRPr="00BC0B96">
        <w:fldChar w:fldCharType="begin"/>
      </w:r>
      <w:r w:rsidR="00563A6D" w:rsidRPr="00BC0B96">
        <w:instrText xml:space="preserve"> ADDIN ZOTERO_ITEM CSL_CITATION {"citationID":"IQ3bKFvf","properties":{"formattedCitation":"(29, 30)","plainCitation":"(29, 30)","noteIndex":0},"citationItems":[{"id":4357,"uris":["http://zotero.org/users/5661202/items/STFEXIZL"],"itemData":{"id":4357,"type":"article-journal","container-title":"Am. J. Psychiatry","page":"205-212","title":"Striatal functional alteration during incentive anticipation in pediatric anxiety disorders","volume":"169","author":[{"family":"Guyer","given":"A E"},{"family":"Choate","given":"V R"},{"family":"Detloff","given":"A"},{"family":"Benson","given":"B"},{"family":"Nelson","given":"E E"},{"family":"Perez-Edgar","given":"K"},{"family":"Fox","given":"N A"},{"family":"Pine","given":"D S"},{"family":"Ernst","given":"M"}],"issued":{"date-parts":[["2012"]]}}},{"id":6574,"uris":["http://zotero.org/users/5661202/items/C6DVDX7L"],"itemData":{"id":6574,"type":"article-journal","abstract":"Objective\nBehavioral inhibition (BI) has been associated with increased risk for developing social anxiety disorder (SAD); however, the degree of risk associated with BI has yet to be systematically examined and quantified. The goal of the present study was to quantify the association between childhood BI and risk for developing SAD.\nMethod\nA comprehensive literature search was conducted to identify studies that assessed both BI and SAD. Meta-analyses were performed to estimate the odds ratio (OR) of the association between BI and SAD in children.\nResults\nSeven studies met inclusion criteria. BI was associated with a greater than sevenfold increase in risk for developing SAD (odds ratio = 7.59, p &lt; .00002). This association remained significant even after considering study differences in temperament assessment, control group, parental risk, age at temperament assessment, and age at anxiety diagnosis.\nConclusions\nIdentifying early developmental risk factors is critical for preventing psychiatric illness. Given that 15% of all children show extreme BI, and that almost half of these inhibited children will eventually develop SAD, we propose that BI is one of the largest single risk factors for developing SAD.","container-title":"Journal of the American Academy of Child &amp; Adolescent Psychiatry","DOI":"10.1016/j.jaac.2012.08.002","ISSN":"0890-8567","issue":"10","journalAbbreviation":"Journal of the American Academy of Child &amp; Adolescent Psychiatry","page":"1066-1075.e1","source":"ScienceDirect","title":"Behavioral Inhibition and Risk for Developing Social Anxiety Disorder: A Meta-Analytic Study","title-short":"Behavioral Inhibition and Risk for Developing Social Anxiety Disorder","volume":"51","author":[{"family":"Clauss","given":"Jacqueline A."},{"family":"Blackford","given":"Jennifer Urbano"}],"issued":{"date-parts":[["2012",10,1]]}}}],"schema":"https://github.com/citation-style-language/schema/raw/master/csl-citation.json"} </w:instrText>
      </w:r>
      <w:r w:rsidR="00E576E1" w:rsidRPr="00BC0B96">
        <w:fldChar w:fldCharType="separate"/>
      </w:r>
      <w:r w:rsidR="00563A6D" w:rsidRPr="00BC0B96">
        <w:rPr>
          <w:rFonts w:ascii="Calibri" w:hAnsi="Calibri" w:cs="Calibri"/>
        </w:rPr>
        <w:t>(29, 30)</w:t>
      </w:r>
      <w:r w:rsidR="00E576E1" w:rsidRPr="00BC0B96">
        <w:fldChar w:fldCharType="end"/>
      </w:r>
      <w:r w:rsidR="00E576E1" w:rsidRPr="00BC0B96">
        <w:t xml:space="preserve">, and gonadal hormones are thought to contribute to these changes </w:t>
      </w:r>
      <w:r w:rsidR="00E576E1" w:rsidRPr="00BC0B96">
        <w:fldChar w:fldCharType="begin"/>
      </w:r>
      <w:r w:rsidR="00563A6D" w:rsidRPr="00BC0B96">
        <w:instrText xml:space="preserve"> ADDIN ZOTERO_ITEM CSL_CITATION {"citationID":"F2VCjAWn","properties":{"formattedCitation":"(31)","plainCitation":"(31)","noteIndex":0},"citationItems":[{"id":9563,"uris":["http://zotero.org/users/5661202/items/U3IV4UCZ"],"itemData":{"id":9563,"type":"article-journal","container-title":"Journal of Research on Adolescence","DOI":"10.1111/jora.12431","ISSN":"1050-8392, 1532-7795","issue":"1","journalAbbreviation":"J Res Adolesc","language":"en","page":"155-176","source":"DOI.org (Crossref)","title":"Conceptualizing Puberty as a Window of Opportunity for Impacting Health and Well‐Being Across the Life Span","volume":"29","author":[{"family":"Dorn","given":"Lorah D."},{"family":"Hostinar","given":"Camelia E."},{"family":"Susman","given":"Elizabeth J."},{"family":"Pervanidou","given":"Panagiota"}],"issued":{"date-parts":[["2019",3]]}}}],"schema":"https://github.com/citation-style-language/schema/raw/master/csl-citation.json"} </w:instrText>
      </w:r>
      <w:r w:rsidR="00E576E1" w:rsidRPr="00BC0B96">
        <w:fldChar w:fldCharType="separate"/>
      </w:r>
      <w:r w:rsidR="00563A6D" w:rsidRPr="00BC0B96">
        <w:rPr>
          <w:rFonts w:ascii="Calibri" w:hAnsi="Calibri" w:cs="Calibri"/>
        </w:rPr>
        <w:t>(31)</w:t>
      </w:r>
      <w:r w:rsidR="00E576E1" w:rsidRPr="00BC0B96">
        <w:fldChar w:fldCharType="end"/>
      </w:r>
      <w:r w:rsidR="00E576E1" w:rsidRPr="00BC0B96">
        <w:t xml:space="preserve">. </w:t>
      </w:r>
      <w:r w:rsidR="004E3F77" w:rsidRPr="00BC0B96">
        <w:t xml:space="preserve">The extended amygdala, which includes the bed nucleus of the stria terminalis (BNST), </w:t>
      </w:r>
      <w:r w:rsidR="00D50E37" w:rsidRPr="00BC0B96">
        <w:t>is especially sensitive to steroid hormones</w:t>
      </w:r>
      <w:r w:rsidR="008054BB" w:rsidRPr="00BC0B96">
        <w:t xml:space="preserve"> </w:t>
      </w:r>
      <w:r w:rsidR="00367C18" w:rsidRPr="00BC0B96">
        <w:fldChar w:fldCharType="begin"/>
      </w:r>
      <w:r w:rsidR="00367C18" w:rsidRPr="00BC0B96">
        <w:instrText xml:space="preserve"> ADDIN ZOTERO_ITEM CSL_CITATION {"citationID":"LXar16X5","properties":{"formattedCitation":"(28)","plainCitation":"(28)","noteIndex":0},"citationItems":[{"id":8995,"uris":["http://zotero.org/users/5661202/items/XJFPSX8Y"],"itemData":{"id":8995,"type":"article-journal","abstract":"Oestradiol establishes neural sex differences in many vertebrates1–3 and modulates mood, behaviour and energy balance in adulthood4–8. In the canonical pathway, oestradiol exerts its effects through the transcription factor oestrogen receptor-α (ERα)9. Although ERα has been extensively characterized in breast cancer, the neuronal targets of ERα, and their involvement in brain sex differences, remain largely unknown. Here we generate a comprehensive map of genomic ERα-binding sites in a sexually dimorphic neural circuit that mediates social behaviours. We conclude that ERα orchestrates sexual differentiation of the mouse brain through two mechanisms: establishing two male-biased neuron types and activating a sustained male-biased gene expression program. Collectively, our findings reveal that sex differences in gene expression are defined by hormonal activation of neuronal steroid receptors. The molecular targets we identify may underlie the effects of oestradiol on brain development, behaviour and disease.","container-title":"Nature","DOI":"10.1038/s41586-022-04686-1","ISSN":"1476-4687","issue":"7912","language":"en","license":"2022 The Author(s)","note":"number: 7912\npublisher: Nature Publishing Group","page":"153-159","source":"www.nature.com","title":"Gene regulation by gonadal hormone receptors underlies brain sex differences","volume":"606","author":[{"family":"Gegenhuber","given":"B."},{"family":"Wu","given":"M. V."},{"family":"Bronstein","given":"R."},{"family":"Tollkuhn","given":"J."}],"issued":{"date-parts":[["2022",6]]}}}],"schema":"https://github.com/citation-style-language/schema/raw/master/csl-citation.json"} </w:instrText>
      </w:r>
      <w:r w:rsidR="00367C18" w:rsidRPr="00BC0B96">
        <w:fldChar w:fldCharType="separate"/>
      </w:r>
      <w:r w:rsidR="00367C18" w:rsidRPr="00BC0B96">
        <w:rPr>
          <w:rFonts w:ascii="Calibri" w:hAnsi="Calibri" w:cs="Calibri"/>
        </w:rPr>
        <w:t>(28)</w:t>
      </w:r>
      <w:r w:rsidR="00367C18" w:rsidRPr="00BC0B96">
        <w:fldChar w:fldCharType="end"/>
      </w:r>
      <w:r w:rsidR="00D50E37" w:rsidRPr="00BC0B96">
        <w:t>.</w:t>
      </w:r>
    </w:p>
    <w:p w14:paraId="051EC365" w14:textId="2C828C6F" w:rsidR="00D557E0" w:rsidRPr="00BC0B96" w:rsidRDefault="00D557E0" w:rsidP="00D557E0">
      <w:pPr>
        <w:spacing w:line="360" w:lineRule="auto"/>
      </w:pPr>
      <w:r w:rsidRPr="00BC0B96">
        <w:t xml:space="preserve">     Functional magnetic resonance imaging studies in humans show that activity within the </w:t>
      </w:r>
      <w:r w:rsidR="00D50E37" w:rsidRPr="00BC0B96">
        <w:t>BNST</w:t>
      </w:r>
      <w:r w:rsidRPr="00BC0B96">
        <w:t xml:space="preserve"> is correlated with trait anxiety </w:t>
      </w:r>
      <w:r w:rsidRPr="00BC0B96">
        <w:fldChar w:fldCharType="begin"/>
      </w:r>
      <w:r w:rsidR="00563A6D" w:rsidRPr="00BC0B96">
        <w:instrText xml:space="preserve"> ADDIN ZOTERO_ITEM CSL_CITATION {"citationID":"6WEzr54F","properties":{"formattedCitation":"(32)","plainCitation":"(32)","noteIndex":0},"citationItems":[{"id":9635,"uris":["http://zotero.org/users/5661202/items/V9QDTUZU"],"itemData":{"id":9635,"type":"article-journal","container-title":"Cerebral Cortex","DOI":"10.1093/cercor/bhr373","ISSN":"1460-2199, 1047-3211","issue":"1","language":"en","page":"49-60","source":"DOI.org (Crossref)","title":"Interactions Between Transient and Sustained Neural Signals Support the Generation and Regulation of Anxious Emotion","volume":"23","author":[{"family":"Somerville","given":"Leah H."},{"family":"Wagner","given":"Dylan D."},{"family":"Wig","given":"Gagan S."},{"family":"Moran","given":"Joseph M."},{"family":"Whalen","given":"Paul J."},{"family":"Kelley","given":"William M."}],"issued":{"date-parts":[["2013",1]]}}}],"schema":"https://github.com/citation-style-language/schema/raw/master/csl-citation.json"} </w:instrText>
      </w:r>
      <w:r w:rsidRPr="00BC0B96">
        <w:fldChar w:fldCharType="separate"/>
      </w:r>
      <w:r w:rsidR="00563A6D" w:rsidRPr="00BC0B96">
        <w:rPr>
          <w:rFonts w:ascii="Calibri" w:hAnsi="Calibri" w:cs="Calibri"/>
        </w:rPr>
        <w:t>(32)</w:t>
      </w:r>
      <w:r w:rsidRPr="00BC0B96">
        <w:fldChar w:fldCharType="end"/>
      </w:r>
      <w:r w:rsidRPr="00BC0B96">
        <w:t xml:space="preserve"> and is increased in response to unpredictable threats </w:t>
      </w:r>
      <w:r w:rsidRPr="00BC0B96">
        <w:fldChar w:fldCharType="begin"/>
      </w:r>
      <w:r w:rsidR="00563A6D" w:rsidRPr="00BC0B96">
        <w:instrText xml:space="preserve"> ADDIN ZOTERO_ITEM CSL_CITATION {"citationID":"KU7lgRsh","properties":{"formattedCitation":"(33)","plainCitation":"(33)","noteIndex":0},"citationItems":[{"id":7077,"uris":["http://zotero.org/users/5661202/items/KV9PH4KN"],"itemData":{"id":7077,"type":"article-journal","abstract":"Anticipation of potentially threatening social situations is a key process in social anxiety disorder (SAD). In other anxiety disorders, recent research of neural correlates of anticipation of temporally unpredictable threat suggests a temporally dissociable involvement of amygdala and bed nucleus of the stria terminalis (BNST) with phasic amygdala responses and sustained BNST activation. However, the temporal profile of amygdala and BNST responses during temporal unpredictability of threat has not been investigated in patients suffering from SAD. We used functional magnetic resonance imaging (fMRI) to investigate neural activation in the central nucleus of the amygdala (CeA) and the BNST during anticipation of temporally unpredictable aversive (video camera observation) relative to neutral (no camera observation) events in SAD patients compared to healthy controls (HC). For the analysis of fMRI data, we applied two regressors (phasic/sustained) within the same model to detect temporally dissociable brain responses. The aversive condition induced increased anxiety in patients compared to HC. SAD patients compared to HC showed increased phasic activation in the CeA and the BNST for anticipation of aversive relative to neutral events. SAD patients as well as HC showed sustained activity alterations in the BNST for aversive relative to neutral anticipation. No differential activity during sustained threat anticipation in SAD patients compared to HC was found. Taken together, our study reveals both CeA and BNST involvement during threat anticipation in SAD patients. The present results point towards potentially SAD-specific threat processing marked by elevated phasic but not sustained CeA and BNST responses when compared to HC.","container-title":"NeuroImage. Clinical","DOI":"10.1016/j.nicl.2019.101735","ISSN":"2213-1582","journalAbbreviation":"Neuroimage Clin","language":"eng","note":"PMID: 30878610\nPMCID: PMC6423472","page":"101735","source":"PubMed","title":"Phasic amygdala and BNST activation during the anticipation of temporally unpredictable social observation in social anxiety disorder patients","volume":"22","author":[{"family":"Figel","given":"Benedikt"},{"family":"Brinkmann","given":"Leonie"},{"family":"Buff","given":"Christine"},{"family":"Heitmann","given":"Carina Y."},{"family":"Hofmann","given":"David"},{"family":"Bruchmann","given":"Maximilian"},{"family":"Becker","given":"Michael P. I."},{"family":"Herrmann","given":"Martin J."},{"family":"Straube","given":"Thomas"}],"issued":{"date-parts":[["2019"]]}}}],"schema":"https://github.com/citation-style-language/schema/raw/master/csl-citation.json"} </w:instrText>
      </w:r>
      <w:r w:rsidRPr="00BC0B96">
        <w:fldChar w:fldCharType="separate"/>
      </w:r>
      <w:r w:rsidR="00563A6D" w:rsidRPr="00BC0B96">
        <w:rPr>
          <w:rFonts w:ascii="Calibri" w:hAnsi="Calibri" w:cs="Calibri"/>
        </w:rPr>
        <w:t>(33)</w:t>
      </w:r>
      <w:r w:rsidRPr="00BC0B96">
        <w:fldChar w:fldCharType="end"/>
      </w:r>
      <w:r w:rsidRPr="00BC0B96">
        <w:t>.</w:t>
      </w:r>
      <w:r w:rsidRPr="00BC0B96" w:rsidDel="000E63C4">
        <w:t xml:space="preserve"> </w:t>
      </w:r>
      <w:r w:rsidRPr="00BC0B96">
        <w:t xml:space="preserve">These studies have limited temporal resolution (~3 sec) and participants must remain immobile during observations </w:t>
      </w:r>
      <w:r w:rsidRPr="00BC0B96">
        <w:fldChar w:fldCharType="begin"/>
      </w:r>
      <w:r w:rsidR="00563A6D" w:rsidRPr="00BC0B96">
        <w:instrText xml:space="preserve"> ADDIN ZOTERO_ITEM CSL_CITATION {"citationID":"n7B8DhOv","properties":{"formattedCitation":"(34)","plainCitation":"(34)","noteIndex":0},"citationItems":[{"id":9704,"uris":["http://zotero.org/users/5661202/items/PZWNJN4F"],"itemData":{"id":9704,"type":"article-journal","container-title":"Neurosurgery Clinics of North America","DOI":"10.1016/j.nec.2010.11.001","ISSN":"10423680","issue":"2","journalAbbreviation":"Neurosurgery Clinics of North America","language":"en","page":"133-139","source":"DOI.org (Crossref)","title":"Overview of Functional Magnetic Resonance Imaging","volume":"22","author":[{"family":"Glover","given":"Gary H."}],"issued":{"date-parts":[["2011",4]]}}}],"schema":"https://github.com/citation-style-language/schema/raw/master/csl-citation.json"} </w:instrText>
      </w:r>
      <w:r w:rsidRPr="00BC0B96">
        <w:fldChar w:fldCharType="separate"/>
      </w:r>
      <w:r w:rsidR="00563A6D" w:rsidRPr="00BC0B96">
        <w:rPr>
          <w:rFonts w:ascii="Calibri" w:hAnsi="Calibri" w:cs="Calibri"/>
        </w:rPr>
        <w:t>(34)</w:t>
      </w:r>
      <w:r w:rsidRPr="00BC0B96">
        <w:fldChar w:fldCharType="end"/>
      </w:r>
      <w:r w:rsidRPr="00BC0B96">
        <w:t>.</w:t>
      </w:r>
      <w:r w:rsidR="003C09DE" w:rsidRPr="00BC0B96">
        <w:t xml:space="preserve"> Thus</w:t>
      </w:r>
      <w:r w:rsidR="00BC0E33" w:rsidRPr="00BC0B96">
        <w:t>,</w:t>
      </w:r>
      <w:r w:rsidR="009F79D4" w:rsidRPr="00BC0B96">
        <w:t xml:space="preserve"> it is un</w:t>
      </w:r>
      <w:r w:rsidR="0098231B" w:rsidRPr="00BC0B96">
        <w:t>clear</w:t>
      </w:r>
      <w:r w:rsidR="009F79D4" w:rsidRPr="00BC0B96">
        <w:t xml:space="preserve"> </w:t>
      </w:r>
      <w:r w:rsidR="003317C7" w:rsidRPr="00BC0B96">
        <w:t xml:space="preserve">if BNST activity </w:t>
      </w:r>
      <w:r w:rsidR="00BC1A69" w:rsidRPr="00BC0B96">
        <w:t xml:space="preserve">more closely tracts </w:t>
      </w:r>
      <w:r w:rsidR="0098231B" w:rsidRPr="00BC0B96">
        <w:t>threats or behavioral responses to threats.</w:t>
      </w:r>
      <w:r w:rsidRPr="00BC0B96">
        <w:t xml:space="preserve"> In contrast </w:t>
      </w:r>
      <w:r w:rsidRPr="00BC0B96">
        <w:rPr>
          <w:i/>
          <w:iCs/>
        </w:rPr>
        <w:t>in vivo</w:t>
      </w:r>
      <w:r w:rsidRPr="00BC0B96">
        <w:t xml:space="preserve"> calcium imaging </w:t>
      </w:r>
      <w:r w:rsidR="004C47EC" w:rsidRPr="00BC0B96">
        <w:t xml:space="preserve">has </w:t>
      </w:r>
      <w:r w:rsidRPr="00BC0B96">
        <w:t>sub</w:t>
      </w:r>
      <w:r w:rsidR="00177202" w:rsidRPr="00BC0B96">
        <w:t>-</w:t>
      </w:r>
      <w:r w:rsidRPr="00BC0B96">
        <w:t xml:space="preserve">second temporal resolution that can </w:t>
      </w:r>
      <w:r w:rsidR="00177202" w:rsidRPr="00BC0B96">
        <w:t xml:space="preserve">link </w:t>
      </w:r>
      <w:r w:rsidRPr="00BC0B96">
        <w:t xml:space="preserve">neural activity </w:t>
      </w:r>
      <w:r w:rsidR="0006439B" w:rsidRPr="00BC0B96">
        <w:t xml:space="preserve">more closely </w:t>
      </w:r>
      <w:r w:rsidRPr="00BC0B96">
        <w:t>with specific behaviors</w:t>
      </w:r>
      <w:r w:rsidR="001C557E" w:rsidRPr="00BC0B96">
        <w:t xml:space="preserve"> </w:t>
      </w:r>
      <w:r w:rsidR="001C557E" w:rsidRPr="00BC0B96">
        <w:fldChar w:fldCharType="begin"/>
      </w:r>
      <w:r w:rsidR="00563A6D" w:rsidRPr="00BC0B96">
        <w:instrText xml:space="preserve"> ADDIN ZOTERO_ITEM CSL_CITATION {"citationID":"ok3kHG5y","properties":{"formattedCitation":"(35)","plainCitation":"(35)","noteIndex":0},"citationItems":[{"id":9706,"uris":["http://zotero.org/users/5661202/items/E39LDAQC"],"itemData":{"id":9706,"type":"article-journal","abstract":"Recent advances in fluorescence imaging permit large-scale recording of neural activity and dynamics of neurochemical release with unprecedented resolution in behaving animals. Calcium imaging with highly optimized genetically encoded indicators provides a mesoscopic view of neural activity from genetically defined populations at cellular and subcellular resolutions. Rigorously improved voltage sensors and microscopy allow for robust spike imaging of populational neurons in various brain regions. In addition, recent protein engineering efforts in the past few years have led to the development of sensors for neurotransmitters and neuromodulators. Here, we discuss the development and applications of these genetically encoded fluorescent indicators in reporting neural activity in response to various behaviors in different biological systems as well as in drug discovery. We also report a simple model to guide sensor selection and optimization.","container-title":"Annual Review of Neuroscience","DOI":"10.1146/annurev-neuro-110520-031137","ISSN":"0147-006X, 1545-4126","issue":"1","journalAbbreviation":"Annu. Rev. Neurosci.","language":"en","page":"273-294","source":"DOI.org (Crossref)","title":"Fluorescence Imaging of Neural Activity, Neurochemical Dynamics, and Drug-Specific Receptor Conformation with Genetically Encoded Sensors","volume":"45","author":[{"family":"Dong","given":"Chunyang"},{"family":"Zheng","given":"Yu"},{"family":"Long-Iyer","given":"Kiran"},{"family":"Wright","given":"Emily C."},{"family":"Li","given":"Yulong"},{"family":"Tian","given":"Lin"}],"issued":{"date-parts":[["2022",7,8]]}}}],"schema":"https://github.com/citation-style-language/schema/raw/master/csl-citation.json"} </w:instrText>
      </w:r>
      <w:r w:rsidR="001C557E" w:rsidRPr="00BC0B96">
        <w:fldChar w:fldCharType="separate"/>
      </w:r>
      <w:r w:rsidR="00563A6D" w:rsidRPr="00BC0B96">
        <w:rPr>
          <w:rFonts w:ascii="Calibri" w:hAnsi="Calibri" w:cs="Calibri"/>
        </w:rPr>
        <w:t>(35)</w:t>
      </w:r>
      <w:r w:rsidR="001C557E" w:rsidRPr="00BC0B96">
        <w:fldChar w:fldCharType="end"/>
      </w:r>
      <w:r w:rsidRPr="00BC0B96">
        <w:t xml:space="preserve">. </w:t>
      </w:r>
      <w:r w:rsidR="00DF49A4" w:rsidRPr="00BC0B96">
        <w:t>Fiber</w:t>
      </w:r>
      <w:r w:rsidRPr="00BC0B96">
        <w:t xml:space="preserve"> photometry allows for data collection in freely moving animals </w:t>
      </w:r>
      <w:r w:rsidRPr="00BC0B96">
        <w:fldChar w:fldCharType="begin"/>
      </w:r>
      <w:r w:rsidR="00563A6D" w:rsidRPr="00BC0B96">
        <w:instrText xml:space="preserve"> ADDIN ZOTERO_ITEM CSL_CITATION {"citationID":"A9bJFpLt","properties":{"formattedCitation":"(36)","plainCitation":"(36)","noteIndex":0},"citationItems":[{"id":175,"uris":["http://zotero.org/users/5661202/items/DPJBK2RB"],"itemData":{"id":175,"type":"article-journal","abstract":"Alcohol and drug use can dysregulate neural circuit function to produce a wide range of neuropsychiatric disorders, including addiction. To understand the neural circuit computations that mediate behavior, and how substances of abuse may transform them, we must first be able to observe the activity of circuits. While many techniques have been utilized to measure activity in specific brain regions, these regions are made up of heterogeneous sub-populations, and assessing activity from neuronal populations of interest has been an ongoing challenge. To fully understand how neural circuits mediate addiction-related behavior, we must be able to reveal the cellular granularity within brain regions and circuits by overlaying functional information with the genetic and anatomical identity of the cells involved. The development of genetically encoded calcium indicators, which can be targeted to populations of interest, allows for in vivo visualization of calcium dynamics, a proxy for neuronal activity, thus providing an avenue for real-time assessment of activity in genetically and anatomically defined populations during behavior. Here, we highlight recent advances in calcium imaging technology, compare the current technology with other state-of-the-art approaches for in vivo monitoring of neural activity, and discuss the strengths, limitations, and practical concerns for observing neural circuit activity in preclinical addiction models.","container-title":"Alcohol (Fayetteville, N.Y.)","DOI":"10.1016/j.alcohol.2018.05.013","ISSN":"1873-6823","journalAbbreviation":"Alcohol","language":"eng","note":"PMID: 30470589","page":"47-63","source":"PubMed","title":"Leveraging calcium imaging to illuminate circuit dysfunction in addiction","volume":"74","author":[{"family":"Siciliano","given":"Cody A."},{"family":"Tye","given":"Kay M."}],"issued":{"date-parts":[["2019",2]]}}}],"schema":"https://github.com/citation-style-language/schema/raw/master/csl-citation.json"} </w:instrText>
      </w:r>
      <w:r w:rsidRPr="00BC0B96">
        <w:fldChar w:fldCharType="separate"/>
      </w:r>
      <w:r w:rsidR="00563A6D" w:rsidRPr="00BC0B96">
        <w:rPr>
          <w:rFonts w:ascii="Calibri" w:hAnsi="Calibri" w:cs="Calibri"/>
        </w:rPr>
        <w:t>(36)</w:t>
      </w:r>
      <w:r w:rsidRPr="00BC0B96">
        <w:fldChar w:fldCharType="end"/>
      </w:r>
      <w:r w:rsidRPr="00BC0B96">
        <w:t>, expand</w:t>
      </w:r>
      <w:r w:rsidR="00CF2758" w:rsidRPr="00BC0B96">
        <w:t>ing</w:t>
      </w:r>
      <w:r w:rsidRPr="00BC0B96">
        <w:t xml:space="preserve"> the behavioral repertoire that can be studied. Previous work in California mice (</w:t>
      </w:r>
      <w:r w:rsidRPr="00BC0B96">
        <w:rPr>
          <w:i/>
          <w:iCs/>
        </w:rPr>
        <w:t xml:space="preserve">Peromyscus californicus) </w:t>
      </w:r>
      <w:r w:rsidRPr="00BC0B96">
        <w:t>shows that</w:t>
      </w:r>
      <w:r w:rsidRPr="00BC0B96">
        <w:rPr>
          <w:i/>
          <w:iCs/>
        </w:rPr>
        <w:t xml:space="preserve"> </w:t>
      </w:r>
      <w:r w:rsidRPr="00BC0B96">
        <w:t xml:space="preserve">social defeat stress has stronger effects on BNST structure and function in adult females than males </w:t>
      </w:r>
      <w:r w:rsidRPr="00BC0B96">
        <w:fldChar w:fldCharType="begin"/>
      </w:r>
      <w:r w:rsidR="00C327F5">
        <w:instrText xml:space="preserve"> ADDIN ZOTERO_ITEM CSL_CITATION {"citationID":"1smOePw0","properties":{"formattedCitation":"(37, 38)","plainCitation":"(37, 38)","noteIndex":0},"citationItems":[{"id":7019,"uris":["http://zotero.org/users/5661202/items/9TRSGP8G"],"itemData":{"id":7019,"type":"article-journal","abstract":"Background\nOxytocin (OT) is considered to be a stress-buffering hormone, dampening the physiologic effects of stress. However, OT can also be anxiogenic. We examined acute and long-lasting effects of social defeat on OT neurons in male and female California mice.\nMethods\nWe used immunohistochemistry for OT and c-fos cells to examine OT neuron activity immediately after defeat (n = 6–9) and 2 weeks (n = 6–9) and 10 weeks (n = 4–5) later. We quantified Oxt messenger RNA with quantitative polymerase chain reaction (n = 5–9). Intranasal OT was administered to naïve and stressed mice tested in social interaction and resident-intruder tests (n = 8–14).\nResults\nAcute exposure to a third episode of defeat increased OT/c-fos colocalizations in the paraventricular nucleus of both sexes. In the medioventral bed nucleus of the stria terminalis, defeat increased Oxt messenger RNA, total OT neurons, and OT/c-fos colocalizations in female mice but not male mice. Intranasal OT failed to reverse stress-induced social withdrawal in female mice and reduced social interaction behavior in female mice naïve to defeat. In contrast, intranasal OT increased social interaction in stressed male mice and reduced freezing in the resident-intruder test.\nConclusions\nSocial defeat induces long-lasting increases in OT production and OT/c-fos cells in the medioventral bed nucleus of the stria terminalis of female mice but not male mice. Intranasal OT largely reversed the effects of stress on behavior in male mice, but effects were mixed in female mice. These results suggest that changes in OT-sensitive networks contribute to sex differences in behavioral responses to stress.","collection-title":"Corticotropin-Releasing Factor, FKBP5, and Posttraumatic Stress Disorder","container-title":"Biological Psychiatry","DOI":"10.1016/j.biopsych.2015.10.007","ISSN":"0006-3223","issue":"5","journalAbbreviation":"Biological Psychiatry","page":"406-414","source":"ScienceDirect","title":"Sex-Specific Effects of Stress on Oxytocin Neurons Correspond With Responses to Intranasal Oxytocin","volume":"80","author":[{"family":"Steinman","given":"Michael Q."},{"family":"Duque-Wilckens","given":"Natalia"},{"family":"Greenberg","given":"Gian D."},{"family":"Hao","given":"Rebecca"},{"family":"Campi","given":"Katharine L."},{"family":"Laredo","given":"Sarah A."},{"family":"Laman-Maharg","given":"Abigail"},{"family":"Manning","given":"Claire E."},{"family":"Doig","given":"Ian E."},{"family":"Lopez","given":"Eduardo M."},{"family":"Walch","given":"Keenan"},{"family":"Bales","given":"Karen L."},{"family":"Trainor","given":"Brian C."}],"issued":{"date-parts":[["2016",9,1]]}}},{"id":"dX9booob/o1LpRfwP","uris":["http://zotero.org/users/local/0DUDweI1/items/C3T3VPJV"],"itemData":{"id":"uGHsRg9B/qfQGtVe9","type":"article-journal","abstract":"Depression and anxiety disorders are more common in women than men, and little is known about the neurobiological mechanisms that contribute to this disparity. Recent data suggest that stress-induced changes in neurotrophins have opposing effects on behavior by acting in different brain networks. Social defeat has been an important approach for understanding neurotrophin action, but low female aggression levels in rats and mice have limited the application of these methods primarily to males. We examined the effects of social defeat in monogamous California mice (Peromyscus californicus), a species in which both males and females defend territories. We demonstrate that defeat stress increases mature brain-derived neurotrophic factor (BDNF) protein but not mRNA in the bed nucleus of the stria terminalis (BNST) in females but not males. Changes in BDNF protein were limited to anterior subregions of the BNST, and there were no changes in the adjacent nucleus accumbens (NAc). The effects of defeat on social withdrawal behavior and BDNF were reversed by chronic, low doses of the antidepressant sertraline. However, higher doses of sertraline restored social withdrawal and elevated BDNF levels. Acute treatment with a low dose of sertraline failed to reverse the effects of defeat. Infusions of the selective tyrosine-related kinase B receptor (TrkB) antagonist ANA-12 into the anterior BNST specifically increased social interaction in stressed females but had no effect on behavior in females naive to defeat. These results suggest that stress-induced increases in BDNF in the anterior BNST contribute to the exaggerated social withdrawal phenotype observed in females.","container-title":"Front Behav Neurosci","DOI":"10.3389/fnbeh.2013.00223","ISSN":"1662-5153","journalAbbreviation":"Frontiers in behavioral neuroscience","language":"eng","note":"PMCID: PMC3885825","page":"223","title":"Sex differences in stress-induced social withdrawal: role of brain derived neurotrophic factor in the bed nucleus of the stria terminalis","volume":"7","author":[{"family":"Greenberg","given":"G. D."},{"family":"Laman-Maharg","given":"A."},{"family":"Campi","given":"K. L."},{"family":"Voigt","given":"H."},{"family":"Orr","given":"V. N."},{"family":"Schaal","given":"L."},{"family":"Trainor","given":"B. C."}],"issued":{"date-parts":[["2014"]]}}}],"schema":"https://github.com/citation-style-language/schema/raw/master/csl-citation.json"} </w:instrText>
      </w:r>
      <w:r w:rsidRPr="00BC0B96">
        <w:fldChar w:fldCharType="separate"/>
      </w:r>
      <w:r w:rsidR="00563A6D" w:rsidRPr="00BC0B96">
        <w:rPr>
          <w:rFonts w:ascii="Calibri" w:hAnsi="Calibri" w:cs="Calibri"/>
        </w:rPr>
        <w:t>(37, 38)</w:t>
      </w:r>
      <w:r w:rsidRPr="00BC0B96">
        <w:fldChar w:fldCharType="end"/>
      </w:r>
      <w:r w:rsidRPr="00BC0B96">
        <w:t xml:space="preserve"> and that these changes drive stress-induced social avoidance and social vigilance </w:t>
      </w:r>
      <w:r w:rsidRPr="00BC0B96">
        <w:fldChar w:fldCharType="begin"/>
      </w:r>
      <w:r w:rsidR="00C327F5">
        <w:instrText xml:space="preserve"> ADDIN ZOTERO_ITEM CSL_CITATION {"citationID":"GpWv5aU6","properties":{"formattedCitation":"(39\\uc0\\u8211{}41)","plainCitation":"(39–41)","noteIndex":0},"citationItems":[{"id":7194,"uris":["http://zotero.org/users/5661202/items/SH6QQTJS"],"itemData":{"id":7194,"type":"article-journal","abstract":"Oxytocin increases the salience of both positive and negative social contexts and it is thought that these diverse actions on behavior are mediated in part through circuit-specific action. This hypothesis is based primarily on manipulations of oxytocin receptor function, leaving open the question of whether different populations of oxytocin neurons mediate different effects on behavior. Here we inhibited oxytocin synthesis in a social stress-sensitive population of oxytocin neurons specifically within the medioventral bed nucleus of the stria terminalis (BNSTmv). Oxytocin knock-down prevented stress-induced increases in social vigilance and decreases in social approach. Viral tracing of BNSTmv oxytocin neurons revealed fibers in regions controlling defensive behaviors including lateral hypothalamus, anterior hypothalamus, and anteromedial BNST (BNSTam). Oxytocin infusion into BNSTam in stress naïve mice increased social vigilance and reduced social approach. These results show that a population of extra-hypothalamic oxytocin neurons play a key role in controlling stress-induced social anxiety behaviors.Competing Interest StatementThe authors have declared no competing interest.","container-title":"Proc Natl. Acad. Sci. U.S.A.","DOI":"10.1101/2020.06.02.129981","issue":"42","page":"26406-26413","title":"Extra-hypothalamic oxytocin neurons drive stress-induced social vigilance and avoidance","volume":"117","author":[{"family":"Duque-Wilckens","given":"Natalia"},{"family":"Torres","given":"Lisette Y."},{"family":"Yokoyama","given":"Sae"},{"family":"Minie","given":"Vanessa A."},{"family":"Tran","given":"Amy M."},{"family":"Petkova","given":"Stela P."},{"family":"Hao","given":"Rebecca"},{"family":"Ramos-Maciel","given":"Stephanie"},{"family":"Rios","given":"Roberto A."},{"family":"Jackson","given":"Kenneth"},{"family":"Flores-Ramires","given":"Francisco J."},{"family":"Garcia-Carachure","given":"Israel"},{"family":"Pesavento","given":"Patricia A."},{"family":"Iñiguez","given":"Sergio D."},{"family":"Grinevich","given":"Valery"},{"family":"Trainor","given":"Brian C."}],"issued":{"date-parts":[["2020"]]}}},{"id":"dX9booob/pkuI86ee","uris":["http://zotero.org/users/local/0DUDweI1/items/IX6SBVZE"],"itemData":{"id":"BfR9AN1n/bvqmpoEs","type":"article-journal","abstract":"Background The neuropeptide oxytocin (OT) is a key regulator of social and emotional behaviors. The effects of OT are context dependent, and it has been proposed that OT increases the salience of both positive and negative social cues. Here we tested whether the bed nucleus of the stria terminalis (BNST) mediates anxiogenic effects of OT. Methods First, we studied the effects of systemic administration of an OT receptor (OTR) antagonist L-368,899 on social behavior in male and female California mice exposed to social defeat. We examined the effect of L-368,899 on G protein activation and used early growth response factor 1 immunohistochemistry to identify potential sites of OTR action. Finally, we examined the effects of L-368,899 infused in the BNST on behavior. Results A single dose of systemic L-368,899 increased social approach in stressed female mice and decreased social approach in male mice naïve to defeat. L-368,899 prevented OT activation of G proteins and did not activate G proteins in the absence of OT. Intranasal OT, which reduces social approach in female mice but not male mice, increased early growth response factor 1 immunoreactivity in the nucleus accumbens core and anteromedial BNST in female mice but not in male mice. Stressed female mice that received an infusion of L-368,899 into the anteromedial BNST but not the nucleus accumbens core increased social approach and decreased social vigilance responses. Conclusions Our results suggest that OTR activation in anteromedial BNST induces a vigilance response in which individuals avoid, yet attend to, unfamiliar social contexts. Our results suggest that OTR antagonists may have unappreciated therapeutic potential for stress-induced psychiatric disorders.","container-title":"Biol Psychiatry","DOI":"https://doi.org/10.1016/j.biopsych.2017.08.024","ISSN":"0006-3223","issue":"3","journalAbbreviation":"Biological psychiatry","page":"203-213","title":"Oxytocin Receptors in the Anteromedial Bed Nucleus of the Stria Terminalis Promote Stress-Induced Social Avoidance in Female California Mice","volume":"83","author":[{"family":"Duque-Wilckens","given":"Natalia"},{"family":"Steinman","given":"Michael Q."},{"family":"Busnelli","given":"Marta"},{"family":"Chini","given":"Bice"},{"family":"Yokoyama","given":"Sae"},{"family":"Pham","given":"Mary"},{"family":"Laredo","given":"Sarah A."},{"family":"Hao","given":"Rebecca"},{"family":"Perkeybile","given":"Allison M."},{"family":"Minie","given":"Vanessa A."},{"family":"Tan","given":"Phillip B."},{"family":"Bales","given":"Karen L."},{"family":"Trainor","given":"Brian C."}],"issued":{"date-parts":[["2018",2,1]]}}},{"id":8940,"uris":["http://zotero.org/users/5661202/items/XIXPV4QQ"],"itemData":{"id":8940,"type":"article-journal","abstract":"Oxytocin is a neuropeptide that can produce anxiolytic effects and promote social approach. However, emerging evidence shows that under some conditions, oxytocin can instead induce anxiety-related behaviors. These diverse effects of oxytocin appear to be mediated by circuit-specific actions. Recent data showed that inhibition of oxytocin receptors (OTRs) in the bed nucleus of the stria terminalis (BNST) was sufficient to increase social approach and decrease social vigilance in female California mice (Peromyscus californicus) exposed to social defeat stress. As a member of the G-protein coupled receptor family, OTRs can induce distinct downstream pathways by coupling to different G-protein isoforms. We show that infusion of carbetocin, a biased OTR-Gq agonist, in the BNST reduced social approach in both female and male California mice. In both females and males, carbetocin also increased social vigilance. To gain insight into cell types that could be mediating this effect, we analyzed previously published single-cell RNAseq data from the BNST and nucleus accumbens (NAc). In the NAc, we and others showed that OTR activation promotes social approach behaviors. In the BNST, Oxtr was expressed in over 40 cell types, that span both posterior and anterior subregions of the BNST. The majority of Oxtr-expressing neurons were GABAergic. In the anterior regions of BNST targeted in our carbetocin experiments, Cyp26b1-expressing neurons had high average Oxtr expression. In the NAc, most Oxtr+ cells were D1 dopamine receptor-expressing neurons and interneurons. These differences in Oxtr cell type distribution may help explain how activation of OTR in BNST versus NAc can have different effects on social approach and social vigilance.","container-title":"Hormones and Behavior","DOI":"10.1016/j.yhbeh.2022.105203","ISSN":"0018-506X","journalAbbreviation":"Hormones and Behavior","language":"en","page":"105203","source":"ScienceDirect","title":"Oxytocin receptor behavioral effects and cell types in the bed nucleus of the stria terminalis","volume":"143","author":[{"family":"Luo","given":"Pei X."},{"family":"Zakharenkov","given":"Hannah Cortez"},{"family":"Torres","given":"Lisette Y."},{"family":"Rios","given":"Roberto A."},{"family":"Gegenhuber","given":"Bruno"},{"family":"Black","given":"Alexis M."},{"family":"Xu","given":"Christine K."},{"family":"Minie","given":"Vanessa A."},{"family":"Tran","given":"Amy M."},{"family":"Tollkuhn","given":"Jessica"},{"family":"Trainor","given":"Brian C."}],"issued":{"date-parts":[["2022",7,1]]}}}],"schema":"https://github.com/citation-style-language/schema/raw/master/csl-citation.json"} </w:instrText>
      </w:r>
      <w:r w:rsidRPr="00BC0B96">
        <w:fldChar w:fldCharType="separate"/>
      </w:r>
      <w:r w:rsidR="00563A6D" w:rsidRPr="00BC0B96">
        <w:rPr>
          <w:rFonts w:ascii="Calibri" w:hAnsi="Calibri" w:cs="Calibri"/>
        </w:rPr>
        <w:t>(39–41)</w:t>
      </w:r>
      <w:r w:rsidRPr="00BC0B96">
        <w:fldChar w:fldCharType="end"/>
      </w:r>
      <w:r w:rsidRPr="00BC0B96">
        <w:t>. It is unknown whether stress-induced increases in BNST activity occur during proximity to social threats or during avoidance of a threat</w:t>
      </w:r>
      <w:r w:rsidR="00347B7A" w:rsidRPr="00BC0B96">
        <w:t xml:space="preserve"> or what causes these sex differences</w:t>
      </w:r>
      <w:r w:rsidRPr="00BC0B96">
        <w:t xml:space="preserve">. </w:t>
      </w:r>
      <w:r w:rsidRPr="00BC0B96">
        <w:lastRenderedPageBreak/>
        <w:t xml:space="preserve">In adults, sex differences in behavioral responses to defeat are independent of gonadal hormones </w:t>
      </w:r>
      <w:r w:rsidRPr="00BC0B96">
        <w:fldChar w:fldCharType="begin"/>
      </w:r>
      <w:r w:rsidR="00C327F5">
        <w:instrText xml:space="preserve"> ADDIN ZOTERO_ITEM CSL_CITATION {"citationID":"OuUXgnL2","properties":{"formattedCitation":"(42, 43)","plainCitation":"(42, 43)","noteIndex":0},"citationItems":[{"id":1435,"uris":["http://zotero.org/users/5661202/items/E5M6K3MG"],"itemData":{"id":1435,"type":"article-journal","abstract":"Stressful life experiences are known to be a precipitating factor for many mental disorders. The social defeat model induces behavioral responses in rodents (e.g. reduced social interaction) that are similar to behavioral patterns associated with mood disorders. The model has contributed to the discovery of novel mechanisms regulating behavioral responses to stress, but its utility has been largely limited to males. This is disadvantageous because most mood disorders have a higher incidence in women versus men. Male and female California mice (Peromyscus californicus) aggressively defend territories, which allowed us to observe the effects of social defeat in both sexes. In two experiments, mice were exposed to three social defeat or control episodes. Mice were then behaviorally phenotyped, and indirect markers of brain activity and corticosterone responses to a novel social stimulus were assessed. Sex differences in behavioral responses to social stress were long lasting (4 wks). Social defeat reduced social interaction responses in females but not males. In females, social defeat induced an increase in the number of phosphorylated CREB positive cells in the nucleus accumbens shell after exposure to a novel social stimulus. This effect of defeat was not observed in males. The effects of defeat in females were limited to social contexts, as there were no differences in exploratory behavior in the open field or light-dark box test. These data suggest that California mice could be a useful model for studying sex differences in behavioral responses to stress, particularly in neurobiological mechanisms that are involved with the regulation of social behavior. ? 2011 Trainor et al.","container-title":"PLoS ONE","DOI":"10.1371/journal.pone.0017405","ISSN":"19326203","issue":"2","title":"Sex differences in social interaction behavior following social defeat stress in the monogamous California mouse (peromyscus californicus)","volume":"6","author":[{"family":"Trainor","given":"B.C."},{"family":"Pride","given":"M.C."},{"family":"Landeros","given":"R.V."},{"family":"Knoblauch","given":"N.W."},{"family":"Takahashi","given":"E.Y."},{"family":"Silva","given":"A.L."},{"family":"Crean","given":"K.K."}],"issued":{"date-parts":[["2011"]]}}},{"id":"dX9booob/6UuRvWMt","uris":["http://zotero.org/users/local/0DUDweI1/items/TUWL3VJ6"],"itemData":{"id":"uGHsRg9B/KWoYDnhX","type":"article-journal","title":"Sex differences in stress-induced social withdrawal: independence from adult gonadal hormones and inhibition of female phenotype by corncob bedding","container-title":"Hormones and Behavior","page":"543-550","volume":"63","issue":"3","source":"PMC","abstract":"There is compelling evidence for important sex differences in behavioral and hormonal responses to psychosocial stress. Here we examined the effects of gonadal hormones on behavioral responses to social defeat stress in monogamous California mice (Peromyscus californicus). Three episodes of social defeat induced social withdrawal in intact females but not males. Gonadectomy blocked corticosterone responses to defeat in females and sensitized male corticosterone responses. However, gonadectomy had no effects on social interaction behavior, suggesting that social withdrawal is not dependent on gonadal hormones in the adult California mouse. In contrast, defeat reduced exploratory behavior in the open field test for intact but not castrated males. We also examined the effects of social defeat on social interaction behavior when California mice were raised on corncob bedding, which has estrogenic properties. In this dataset of over 300 mice, we observed that social defeat did not induce social withdrawal when females were raised on corncob bedding. This finding suggests that the use of corncob in rodent studies could mask important sex differences in the effects of stress on brain and behavior. Although gonadal hormones do not affect social withdrawal behavior in adults, our data suggest that hormones may act earlier in development to induce a more resilient social phenotype.","DOI":"10.1016/j.yhbeh.2013.01.011","ISSN":"0018-506X 1095-6867","author":[{"family":"Trainor","given":"Brian C."},{"family":"Takahashi","given":"Elizabeth Y."},{"family":"Campi","given":"Katharine L."},{"family":"Florez","given":"Stefani A."},{"family":"Greenberg","given":"Gian D."},{"family":"Laman-Maharg","given":"Abigail"},{"family":"Laredo","given":"Sarah A."},{"family":"Orr","given":"Veronica N."},{"family":"Silva","given":"Andrea L."},{"family":"Steinman","given":"Michael Q."}],"issued":{"date-parts":[["2013"]],"season":"04"}}}],"schema":"https://github.com/citation-style-language/schema/raw/master/csl-citation.json"} </w:instrText>
      </w:r>
      <w:r w:rsidRPr="00BC0B96">
        <w:fldChar w:fldCharType="separate"/>
      </w:r>
      <w:r w:rsidR="00563A6D" w:rsidRPr="00BC0B96">
        <w:rPr>
          <w:rFonts w:ascii="Calibri" w:hAnsi="Calibri" w:cs="Calibri"/>
        </w:rPr>
        <w:t>(42, 43)</w:t>
      </w:r>
      <w:r w:rsidRPr="00BC0B96">
        <w:fldChar w:fldCharType="end"/>
      </w:r>
      <w:r w:rsidRPr="00BC0B96">
        <w:t xml:space="preserve">, suggesting that sex differences are organized during development. California mice are an ideal species for studying sex differences in stress responses </w:t>
      </w:r>
      <w:r w:rsidRPr="00BC0B96">
        <w:fldChar w:fldCharType="begin"/>
      </w:r>
      <w:r w:rsidR="00563A6D" w:rsidRPr="00BC0B96">
        <w:instrText xml:space="preserve"> ADDIN ZOTERO_ITEM CSL_CITATION {"citationID":"pG6uYiMa","properties":{"formattedCitation":"(44)","plainCitation":"(44)","noteIndex":0},"citationItems":[{"id":7215,"uris":["http://zotero.org/users/5661202/items/5CRDBMU6"],"itemData":{"id":7215,"type":"chapter","abstract":"Social stressors are known to have strong negative impacts on mental health. There is a long history of preclinical social defeat stress studies in rodents focusing on males that has produced important insights into the neural mechanisms that modulate depression- and anxiety-related behavior. Despite these impressive results, a historical weakness of rodent social stress models has been an under-representation of studies in females. This is problematic because rates of depression and anxiety are higher in women versus men. Recently there has been a surge of interest in adapting social stress methods for female rodents. Here we review new rodent models that have investigated numerous facets of social stress in females. The different models have different strengths and weaknesses, with some model systems having stronger ethological validity with other models having better access to molecular tools to manipulate neural circuits. Continued use and refinement of these complementary models will be critical for addressing gaps in understanding the function of neural circuits modulating depression- and anxiety-related behavior in females.","collection-title":"Current Topics in Behavioral Neurosciences","event-place":"Berlin, Heidelberg","language":"en","note":"DOI: 10.1007/7854_2021_247","page":"1-30","publisher":"Springer","publisher-place":"Berlin, Heidelberg","source":"Springer Link","title":"Mean Girls: Social Stress Models for Female Rodents","title-short":"Mean Girls","URL":"https://doi.org/10.1007/7854_2021_247","author":[{"family":"Kuske","given":"Jace X."},{"family":"Trainor","given":"Brian C."}],"accessed":{"date-parts":[["2021",9,17]]},"issued":{"date-parts":[["2021"]]}}}],"schema":"https://github.com/citation-style-language/schema/raw/master/csl-citation.json"} </w:instrText>
      </w:r>
      <w:r w:rsidRPr="00BC0B96">
        <w:fldChar w:fldCharType="separate"/>
      </w:r>
      <w:r w:rsidR="00563A6D" w:rsidRPr="00BC0B96">
        <w:rPr>
          <w:rFonts w:ascii="Calibri" w:hAnsi="Calibri" w:cs="Calibri"/>
        </w:rPr>
        <w:t>(44)</w:t>
      </w:r>
      <w:r w:rsidRPr="00BC0B96">
        <w:fldChar w:fldCharType="end"/>
      </w:r>
      <w:r w:rsidRPr="00BC0B96">
        <w:t xml:space="preserve"> and have a slower pace of development compared to other rodents </w:t>
      </w:r>
      <w:r w:rsidRPr="00BC0B96">
        <w:fldChar w:fldCharType="begin"/>
      </w:r>
      <w:r w:rsidR="00563A6D" w:rsidRPr="00BC0B96">
        <w:instrText xml:space="preserve"> ADDIN ZOTERO_ITEM CSL_CITATION {"citationID":"PxvwU6tZ","properties":{"formattedCitation":"(45, 46)","plainCitation":"(45, 46)","noteIndex":0},"citationItems":[{"id":9599,"uris":["http://zotero.org/users/5661202/items/CLLTDBKI"],"itemData":{"id":9599,"type":"article-journal","container-title":"Reproduction","page":"113-121","title":"Androgen profiles during pubertal Leydig cell development in mice","volume":"140","author":[{"family":"Wu","given":"X"},{"family":"Arumugam","given":"R"},{"family":"Zhang","given":"N."},{"family":"Lee","given":"M. M."}],"issued":{"date-parts":[["2010"]]}}},{"id":9597,"uris":["http://zotero.org/users/5661202/items/3CSTYC6X"],"itemData":{"id":9597,"type":"article-journal","abstract":"In boys, inflammatory bowel disease often results in delayed puberty associated with decreased bone mineral density and decreased linear growth. Our goal was to investigate whether pubertal timing and levels of leptin differed between prepubertal male mice with colitis and food-restricted (FR) mice maintained at a similar weight. We induced colitis in 32-d-old male mice using dextran sodium sulfate (DSS), resulting in 10 d of worsening colitis. We followed up these mice for separation of the prepuce from the glans penis as a marker of pubertal progression. Compared with free-feeding control mice, DSS and FR mice had significantly lower weight on d 7–10 of treatment. DSS mice had later puberty than control and FR mice. DSS mice also had smaller testes, lower FSH levels, increased systemic cytokines, and increased colonic inflammation by histology. Leptin levels were similar between DSS and FR mice, whereas both had decreases in leptin compared with controls. We conclude that DSS colitis causes delayed puberty in sexually immature male mice beyond what is seen among FR mice of similar weight, food intake, and leptin levels. These experiments provide support for the hypothesis that pubertal delay in colitis is influenced by factors beyond poor weight gain alone.","container-title":"Pediatric Research","DOI":"10.1203/PDR.0b013e3181ffee6c","ISSN":"1530-0447","issue":"1","journalAbbreviation":"Pediatr Res","language":"en","license":"2011 International Pediatrics Research Foundation, Inc.","note":"number: 1\npublisher: Nature Publishing Group","page":"34-39","source":"www.nature.com","title":"Puberty Is Delayed in Male Mice With Dextran Sodium Sulfate Colitis Out of Proportion to Changes in Food Intake, Body Weight, and Serum Levels of Leptin","volume":"69","author":[{"family":"Deboer","given":"Mark D."},{"family":"Li","given":"Yongli"}],"issued":{"date-parts":[["2011",1]]}}}],"schema":"https://github.com/citation-style-language/schema/raw/master/csl-citation.json"} </w:instrText>
      </w:r>
      <w:r w:rsidRPr="00BC0B96">
        <w:fldChar w:fldCharType="separate"/>
      </w:r>
      <w:r w:rsidR="00563A6D" w:rsidRPr="00BC0B96">
        <w:rPr>
          <w:rFonts w:ascii="Calibri" w:hAnsi="Calibri" w:cs="Calibri"/>
        </w:rPr>
        <w:t>(45, 46)</w:t>
      </w:r>
      <w:r w:rsidRPr="00BC0B96">
        <w:fldChar w:fldCharType="end"/>
      </w:r>
      <w:r w:rsidRPr="00BC0B96">
        <w:t xml:space="preserve">. Here we use a combination of pubertal hormone manipulations, calcium imaging, and immunohistochemistry to demonstrate that androgens act during puberty to reduce behavioral </w:t>
      </w:r>
      <w:r w:rsidR="00300B2D" w:rsidRPr="00BC0B96">
        <w:t xml:space="preserve">and neural </w:t>
      </w:r>
      <w:r w:rsidRPr="00BC0B96">
        <w:t>responses to social defeat stress, thus serving a key mechanism regulating developmental programing.</w:t>
      </w:r>
    </w:p>
    <w:p w14:paraId="23296EE6" w14:textId="77777777" w:rsidR="00980C22" w:rsidRPr="00BC0B96" w:rsidRDefault="00980C22" w:rsidP="00E6133D">
      <w:pPr>
        <w:keepNext/>
        <w:pBdr>
          <w:top w:val="nil"/>
          <w:left w:val="nil"/>
          <w:bottom w:val="nil"/>
          <w:right w:val="nil"/>
          <w:between w:val="nil"/>
        </w:pBdr>
        <w:spacing w:before="240" w:after="60"/>
        <w:contextualSpacing/>
        <w:rPr>
          <w:rFonts w:ascii="Arial" w:hAnsi="Arial" w:cs="Arial"/>
          <w:b/>
          <w:sz w:val="20"/>
          <w:szCs w:val="20"/>
        </w:rPr>
      </w:pPr>
    </w:p>
    <w:p w14:paraId="07903C02" w14:textId="77777777" w:rsidR="00E6133D" w:rsidRPr="00BC0B96" w:rsidRDefault="00E6133D" w:rsidP="00E6133D">
      <w:pPr>
        <w:keepNext/>
        <w:pBdr>
          <w:top w:val="nil"/>
          <w:left w:val="nil"/>
          <w:bottom w:val="nil"/>
          <w:right w:val="nil"/>
          <w:between w:val="nil"/>
        </w:pBdr>
        <w:spacing w:before="240" w:after="60"/>
        <w:contextualSpacing/>
        <w:rPr>
          <w:rFonts w:ascii="Arial" w:hAnsi="Arial" w:cs="Arial"/>
          <w:b/>
          <w:sz w:val="20"/>
          <w:szCs w:val="20"/>
        </w:rPr>
      </w:pPr>
      <w:r w:rsidRPr="00BC0B96">
        <w:rPr>
          <w:rFonts w:ascii="Arial" w:hAnsi="Arial" w:cs="Arial"/>
          <w:b/>
          <w:sz w:val="20"/>
          <w:szCs w:val="20"/>
        </w:rPr>
        <w:t>Results</w:t>
      </w:r>
    </w:p>
    <w:p w14:paraId="435AD305" w14:textId="77777777" w:rsidR="00980C22" w:rsidRPr="00BC0B96" w:rsidRDefault="00980C22" w:rsidP="00980C22">
      <w:pPr>
        <w:keepNext/>
        <w:pBdr>
          <w:top w:val="nil"/>
          <w:left w:val="nil"/>
          <w:bottom w:val="nil"/>
          <w:right w:val="nil"/>
          <w:between w:val="nil"/>
        </w:pBdr>
        <w:spacing w:before="240" w:after="60"/>
        <w:contextualSpacing/>
        <w:jc w:val="both"/>
        <w:rPr>
          <w:rFonts w:ascii="Arial" w:hAnsi="Arial" w:cs="Arial"/>
          <w:sz w:val="20"/>
          <w:szCs w:val="20"/>
        </w:rPr>
      </w:pPr>
    </w:p>
    <w:p w14:paraId="7BC0852B" w14:textId="77777777" w:rsidR="00442939" w:rsidRPr="00BC0B96" w:rsidRDefault="00442939" w:rsidP="00980C22">
      <w:pPr>
        <w:keepNext/>
        <w:pBdr>
          <w:top w:val="nil"/>
          <w:left w:val="nil"/>
          <w:bottom w:val="nil"/>
          <w:right w:val="nil"/>
          <w:between w:val="nil"/>
        </w:pBdr>
        <w:spacing w:before="240" w:after="60"/>
        <w:contextualSpacing/>
        <w:jc w:val="both"/>
        <w:rPr>
          <w:rFonts w:ascii="Arial" w:hAnsi="Arial" w:cs="Arial"/>
          <w:sz w:val="20"/>
          <w:szCs w:val="20"/>
        </w:rPr>
      </w:pPr>
    </w:p>
    <w:p w14:paraId="78C14302" w14:textId="2207A4F6" w:rsidR="00F3296C" w:rsidRPr="00BC0B96" w:rsidRDefault="00F3296C" w:rsidP="5402E06E">
      <w:pPr>
        <w:spacing w:line="360" w:lineRule="auto"/>
      </w:pPr>
      <w:r w:rsidRPr="00BC0B96">
        <w:rPr>
          <w:b/>
          <w:bCs/>
        </w:rPr>
        <w:t xml:space="preserve">Late Onset of Pubertal Development in California mice. </w:t>
      </w:r>
      <w:r w:rsidRPr="00BC0B96">
        <w:t xml:space="preserve">Pubertal development is multifaceted </w:t>
      </w:r>
      <w:r w:rsidRPr="00BC0B96">
        <w:fldChar w:fldCharType="begin"/>
      </w:r>
      <w:r w:rsidR="00563A6D" w:rsidRPr="00BC0B96">
        <w:instrText xml:space="preserve"> ADDIN ZOTERO_ITEM CSL_CITATION {"citationID":"HkBwszEa","properties":{"formattedCitation":"(47, 48)","plainCitation":"(47, 48)","noteIndex":0},"citationItems":[{"id":9700,"uris":["http://zotero.org/users/5661202/items/QYGCN9R4"],"itemData":{"id":9700,"type":"article-journal","container-title":"Journal of Research on Adolescence","DOI":"10.1111/jora.12371","ISSN":"10508392","issue":"1","journalAbbreviation":"J Res Adolesc","language":"en","page":"82-95","source":"DOI.org (Crossref)","title":"Understanding Puberty and Its Measurement: Ideas for Research in a New Generation","title-short":"Understanding Puberty and Its Measurement","volume":"29","author":[{"family":"Mendle","given":"Jane"},{"family":"Beltz","given":"Adriene M."},{"family":"Carter","given":"Rona"},{"family":"Dorn","given":"Lorah D."}],"issued":{"date-parts":[["2019",3]]}}},{"id":9702,"uris":["http://zotero.org/users/5661202/items/XR6AGSLZ"],"itemData":{"id":9702,"type":"article-journal","container-title":"Child Development","DOI":"10.1111/j.1467-8624.2009.01263.x","ISSN":"00093920, 14678624","issue":"2","language":"en","page":"327-337","source":"DOI.org (Crossref)","title":"Pubertal Development: Correspondence Between Hormonal and Physical Development: Hormonal Correlates of Pubertal Stage","title-short":"Pubertal Development","volume":"80","author":[{"family":"Shirtcliff","given":"Elizabeth A."},{"family":"Dahl","given":"Ronald E."},{"family":"Pollak","given":"Seth D."}],"issued":{"date-parts":[["2009",3]]}}}],"schema":"https://github.com/citation-style-language/schema/raw/master/csl-citation.json"} </w:instrText>
      </w:r>
      <w:r w:rsidRPr="00BC0B96">
        <w:fldChar w:fldCharType="separate"/>
      </w:r>
      <w:r w:rsidR="00563A6D" w:rsidRPr="00BC0B96">
        <w:rPr>
          <w:rFonts w:ascii="Calibri" w:hAnsi="Calibri" w:cs="Calibri"/>
        </w:rPr>
        <w:t>(47, 48)</w:t>
      </w:r>
      <w:r w:rsidRPr="00BC0B96">
        <w:fldChar w:fldCharType="end"/>
      </w:r>
      <w:r w:rsidRPr="00BC0B96">
        <w:t xml:space="preserve">, so we used complementary methods to assess this process in California mice (Fig. 1A, S1A). In males, testosterone levels did not increase significantly </w:t>
      </w:r>
      <w:r w:rsidR="005D7D93" w:rsidRPr="00BC0B96">
        <w:t>from PN3</w:t>
      </w:r>
      <w:r w:rsidR="00B10264" w:rsidRPr="00BC0B96">
        <w:t>5</w:t>
      </w:r>
      <w:r w:rsidR="005D7D93" w:rsidRPr="00BC0B96">
        <w:t xml:space="preserve"> </w:t>
      </w:r>
      <w:r w:rsidRPr="00BC0B96">
        <w:t>until post-natal day 90 (PN90, Fig. 1B, F</w:t>
      </w:r>
      <w:r w:rsidRPr="00BC0B96">
        <w:rPr>
          <w:vertAlign w:val="subscript"/>
        </w:rPr>
        <w:t>5,28</w:t>
      </w:r>
      <w:r w:rsidRPr="00BC0B96">
        <w:t>=6.51, p&lt;0.01, Cohen’s d=1.9) while testes weight did not increase significantly until PN70 (Fig. S1A, F</w:t>
      </w:r>
      <w:r w:rsidRPr="00BC0B96">
        <w:rPr>
          <w:vertAlign w:val="subscript"/>
        </w:rPr>
        <w:t>1,21</w:t>
      </w:r>
      <w:r w:rsidRPr="00BC0B96">
        <w:t xml:space="preserve">=112.3, p&lt;6.9e-11) In females, progesterone levels </w:t>
      </w:r>
      <w:r w:rsidR="00697490" w:rsidRPr="00BC0B96">
        <w:t>did not increase from PN3</w:t>
      </w:r>
      <w:r w:rsidR="00B10264" w:rsidRPr="00BC0B96">
        <w:t>5</w:t>
      </w:r>
      <w:r w:rsidR="00697490" w:rsidRPr="00BC0B96">
        <w:t xml:space="preserve"> levels until </w:t>
      </w:r>
      <w:r w:rsidRPr="00BC0B96">
        <w:t>PN70 (Fig. 1B, F</w:t>
      </w:r>
      <w:r w:rsidRPr="00BC0B96">
        <w:rPr>
          <w:vertAlign w:val="subscript"/>
        </w:rPr>
        <w:t>5.26</w:t>
      </w:r>
      <w:r w:rsidRPr="00BC0B96">
        <w:t>=2.56, p=0.05, d=1.7) while uterine weight increased at P50 (Fig. S1B, F</w:t>
      </w:r>
      <w:r w:rsidRPr="00BC0B96">
        <w:rPr>
          <w:vertAlign w:val="subscript"/>
        </w:rPr>
        <w:t>1,32</w:t>
      </w:r>
      <w:r w:rsidRPr="00BC0B96">
        <w:t>=6.99, p=0.01). In both males and females there was no evidence for preputial separation or vaginal opening (external genitalia) before PN50 (FigS1</w:t>
      </w:r>
      <w:proofErr w:type="gramStart"/>
      <w:r w:rsidRPr="00BC0B96">
        <w:t>C,D</w:t>
      </w:r>
      <w:proofErr w:type="gramEnd"/>
      <w:r w:rsidRPr="00BC0B96">
        <w:t xml:space="preserve">). </w:t>
      </w:r>
    </w:p>
    <w:p w14:paraId="2934922C" w14:textId="77777777" w:rsidR="00F3296C" w:rsidRPr="00BC0B96" w:rsidRDefault="00F3296C" w:rsidP="00F3296C">
      <w:pPr>
        <w:spacing w:line="360" w:lineRule="auto"/>
      </w:pPr>
    </w:p>
    <w:p w14:paraId="60D871EE" w14:textId="7C4700D9" w:rsidR="00F3296C" w:rsidRPr="00BC0B96" w:rsidRDefault="25817FC1" w:rsidP="00F3296C">
      <w:pPr>
        <w:spacing w:line="360" w:lineRule="auto"/>
        <w:rPr>
          <w:rFonts w:eastAsia="Times New Roman"/>
        </w:rPr>
      </w:pPr>
      <w:r w:rsidRPr="00BC0B96">
        <w:rPr>
          <w:b/>
          <w:bCs/>
        </w:rPr>
        <w:t>Juvenile</w:t>
      </w:r>
      <w:r w:rsidRPr="00BC0B96">
        <w:t xml:space="preserve"> </w:t>
      </w:r>
      <w:r w:rsidRPr="00BC0B96">
        <w:rPr>
          <w:b/>
          <w:bCs/>
        </w:rPr>
        <w:t>Male and Female California Mice Reduce Soci</w:t>
      </w:r>
      <w:r w:rsidR="00442939" w:rsidRPr="00BC0B96">
        <w:rPr>
          <w:b/>
          <w:bCs/>
        </w:rPr>
        <w:t>al</w:t>
      </w:r>
      <w:r w:rsidRPr="00BC0B96">
        <w:rPr>
          <w:b/>
          <w:bCs/>
        </w:rPr>
        <w:t xml:space="preserve"> Approach and Increase Social Vigilance after Defeat. </w:t>
      </w:r>
      <w:r w:rsidRPr="00BC0B96">
        <w:rPr>
          <w:bCs/>
        </w:rPr>
        <w:t xml:space="preserve"> </w:t>
      </w:r>
      <w:r w:rsidR="6FBFE674" w:rsidRPr="00BC0B96">
        <w:t xml:space="preserve">California mice are weaned at PN30, </w:t>
      </w:r>
      <w:r w:rsidR="653D5531" w:rsidRPr="00BC0B96">
        <w:t>after which</w:t>
      </w:r>
      <w:r w:rsidR="6FBFE674" w:rsidRPr="00BC0B96">
        <w:t xml:space="preserve"> we waited 3 days (PN34-36)</w:t>
      </w:r>
      <w:r w:rsidR="18A834BF" w:rsidRPr="00BC0B96">
        <w:t xml:space="preserve"> before</w:t>
      </w:r>
      <w:r w:rsidR="008A369C" w:rsidRPr="00BC0B96">
        <w:t xml:space="preserve"> randomly</w:t>
      </w:r>
      <w:r w:rsidR="18A834BF" w:rsidRPr="00BC0B96">
        <w:t xml:space="preserve"> assigning j</w:t>
      </w:r>
      <w:r w:rsidRPr="00BC0B96">
        <w:t>uvenile</w:t>
      </w:r>
      <w:r w:rsidR="18A834BF" w:rsidRPr="00BC0B96">
        <w:t xml:space="preserve">s </w:t>
      </w:r>
      <w:r w:rsidRPr="00BC0B96">
        <w:t>to social defeat stress or control conditions</w:t>
      </w:r>
      <w:r w:rsidR="18A834BF" w:rsidRPr="00BC0B96">
        <w:t>. In adults, sex differences in the effects of social defeat endure for several weeks</w:t>
      </w:r>
      <w:r w:rsidR="596C5B97" w:rsidRPr="00BC0B96">
        <w:t xml:space="preserve"> </w:t>
      </w:r>
      <w:r w:rsidR="00705577" w:rsidRPr="00BC0B96">
        <w:fldChar w:fldCharType="begin"/>
      </w:r>
      <w:r w:rsidR="00C327F5">
        <w:instrText xml:space="preserve"> ADDIN ZOTERO_ITEM CSL_CITATION {"citationID":"5sPVvVBC","properties":{"formattedCitation":"(49)","plainCitation":"(49)","noteIndex":0},"citationItems":[{"id":"dX9booob/wOP57c4u","uris":["http://zotero.org/users/local/0DUDweI1/items/7LU9HPCS"],"itemData":{"id":"UKGXovzq/k7hmAJae","type":"article-journal","abstract":"&lt;p&gt;Stressful life experiences are known to be a precipitating factor for many mental disorders. The social defeat model induces behavioral responses in rodents (e.g. reduced social interaction) that are similar to behavioral patterns associated with mood disorders. The model has contributed to the discovery of novel mechanisms regulating behavioral responses to stress, but its utility has been largely limited to males. This is disadvantageous because most mood disorders have a higher incidence in women versus men. Male and female California mice (&lt;italic&gt;Peromyscus californicus&lt;/italic&gt;) aggressively defend territories, which allowed us to observe the effects of social defeat in both sexes. In two experiments, mice were exposed to three social defeat or control episodes. Mice were then behaviorally phenotyped, and indirect markers of brain activity and corticosterone responses to a novel social stimulus were assessed. Sex differences in behavioral responses to social stress were long lasting (4 wks). Social defeat reduced social interaction responses in females but not males. In females, social defeat induced an increase in the number of phosphorylated CREB positive cells in the nucleus accumbens shell after exposure to a novel social stimulus. This effect of defeat was not observed in males. The effects of defeat in females were limited to social contexts, as there were no differences in exploratory behavior in the open field or light-dark box test. These data suggest that California mice could be a useful model for studying sex differences in behavioral responses to stress, particularly in neurobiological mechanisms that are involved with the regulation of social behavior.&lt;/p&gt;","container-title":"PLoS ONE","DOI":"10.1371/journal.pone.0017405","issue":"2","page":"e17405","title":"Sex Differences in Social Interaction Behavior Following Social Defeat Stress in the Monogamous California Mouse (&lt;italic&gt;Peromyscus californicus&lt;/italic&gt;)","volume":"6","author":[{"family":"Trainor","given":"Brian C."},{"family":"Pride","given":"Michael C."},{"family":"Villalon Landeros","given":"Rosalina"},{"family":"Knoblauch","given":"Nicholas W."},{"family":"Takahashi","given":"Elizabeth Y."},{"family":"Silva","given":"Andrea L."},{"family":"Crean","given":"Katie K."}],"issued":{"date-parts":[["2011"]]}}}],"schema":"https://github.com/citation-style-language/schema/raw/master/csl-citation.json"} </w:instrText>
      </w:r>
      <w:r w:rsidR="00705577" w:rsidRPr="00BC0B96">
        <w:fldChar w:fldCharType="separate"/>
      </w:r>
      <w:r w:rsidR="15ED6157" w:rsidRPr="00BC0B96">
        <w:rPr>
          <w:rFonts w:ascii="Calibri" w:hAnsi="Calibri" w:cs="Calibri"/>
        </w:rPr>
        <w:t>(49)</w:t>
      </w:r>
      <w:r w:rsidR="00705577" w:rsidRPr="00BC0B96">
        <w:fldChar w:fldCharType="end"/>
      </w:r>
      <w:r w:rsidR="1BF3C5D8" w:rsidRPr="00BC0B96">
        <w:t>. Here mice</w:t>
      </w:r>
      <w:r w:rsidR="4115F61D" w:rsidRPr="00BC0B96">
        <w:t xml:space="preserve"> were t</w:t>
      </w:r>
      <w:r w:rsidRPr="00BC0B96">
        <w:t xml:space="preserve">ested </w:t>
      </w:r>
      <w:r w:rsidR="0D330C1D" w:rsidRPr="00BC0B96">
        <w:t xml:space="preserve">2 weeks after the completion of social defeat </w:t>
      </w:r>
      <w:r w:rsidRPr="00BC0B96">
        <w:t>in a social interaction test a</w:t>
      </w:r>
      <w:r w:rsidR="596C5B97" w:rsidRPr="00BC0B96">
        <w:t>t PN50 (Fig. 1C), before the onset of puberty</w:t>
      </w:r>
      <w:r w:rsidRPr="00BC0B96">
        <w:rPr>
          <w:bCs/>
        </w:rPr>
        <w:t xml:space="preserve">. </w:t>
      </w:r>
      <w:r w:rsidR="0037290C" w:rsidRPr="3865CA10">
        <w:t xml:space="preserve">In contrast to adults, </w:t>
      </w:r>
      <w:r w:rsidR="0037290C" w:rsidRPr="00BC0B96">
        <w:t>s</w:t>
      </w:r>
      <w:r w:rsidRPr="00BC0B96">
        <w:t>ocial defeat reduced</w:t>
      </w:r>
      <w:r w:rsidRPr="00BC0B96">
        <w:rPr>
          <w:bCs/>
        </w:rPr>
        <w:t xml:space="preserve"> </w:t>
      </w:r>
      <w:r w:rsidRPr="00BC0B96">
        <w:t xml:space="preserve">social approach </w:t>
      </w:r>
      <w:r w:rsidRPr="00BC0B96">
        <w:rPr>
          <w:bCs/>
        </w:rPr>
        <w:t>(</w:t>
      </w:r>
      <w:r w:rsidRPr="00BC0B96">
        <w:t xml:space="preserve">Fig. 1D, </w:t>
      </w:r>
      <w:r w:rsidRPr="00BC0B96">
        <w:rPr>
          <w:rFonts w:eastAsia="Times New Roman"/>
        </w:rPr>
        <w:t>F</w:t>
      </w:r>
      <w:r w:rsidRPr="00BC0B96">
        <w:rPr>
          <w:rFonts w:eastAsia="Times New Roman"/>
          <w:vertAlign w:val="subscript"/>
        </w:rPr>
        <w:t>1,27</w:t>
      </w:r>
      <w:r w:rsidRPr="00BC0B96">
        <w:rPr>
          <w:rFonts w:eastAsia="Times New Roman"/>
        </w:rPr>
        <w:t>=47.09</w:t>
      </w:r>
      <w:r w:rsidRPr="00BC0B96">
        <w:t xml:space="preserve">, p&lt;0.001) in </w:t>
      </w:r>
      <w:r w:rsidR="0037290C" w:rsidRPr="00BC0B96">
        <w:t xml:space="preserve">both </w:t>
      </w:r>
      <w:r w:rsidRPr="00BC0B96">
        <w:t>males (p&lt;0.001, Cohen’s d=3.0) and females (p&lt;0.001, d=2.4</w:t>
      </w:r>
      <w:r w:rsidRPr="00BC0B96">
        <w:rPr>
          <w:bCs/>
        </w:rPr>
        <w:t xml:space="preserve">). </w:t>
      </w:r>
      <w:r w:rsidRPr="00BC0B96">
        <w:t xml:space="preserve">Defeat also increased social vigilance (Fig. 1E, Kruskal-Wallis=16.33, p&lt;0.001) in males (p=0.03, d=1.6) and females (p=0.02, d=1.8). These results contrast with observed sex-differences in adults, which show that social defeat decreases social approach </w:t>
      </w:r>
      <w:r w:rsidR="00F3296C" w:rsidRPr="00BC0B96">
        <w:fldChar w:fldCharType="begin"/>
      </w:r>
      <w:r w:rsidR="00C327F5">
        <w:instrText xml:space="preserve"> ADDIN ZOTERO_ITEM CSL_CITATION {"citationID":"cWmx1cOv","properties":{"formattedCitation":"(38, 42, 43, 50)","plainCitation":"(38, 42, 43, 50)","noteIndex":0},"citationItems":[{"id":"dX9booob/o1LpRfwP","uris":["http://zotero.org/users/local/0DUDweI1/items/C3T3VPJV"],"itemData":{"id":"fGfgluWi/ycXPG5Yu","type":"article-journal","abstract":"Depression and anxiety disorders are more common in women than men, and little is known about the neurobiological mechanisms that contribute to this disparity. Recent data suggest that stress-induced changes in neurotrophins have opposing effects on behavior by acting in different brain networks. Social defeat has been an important approach for understanding neurotrophin action, but low female aggression levels in rats and mice have limited the application of these methods primarily to males. We examined the effects of social defeat in monogamous California mice (Peromyscus californicus), a species in which both males and females defend territories. We demonstrate that defeat stress increases mature brain-derived neurotrophic factor (BDNF) protein but not mRNA in the bed nucleus of the stria terminalis (BNST) in females but not males. Changes in BDNF protein were limited to anterior subregions of the BNST, and there were no changes in the adjacent nucleus accumbens (NAc). The effects of defeat on social withdrawal behavior and BDNF were reversed by chronic, low doses of the antidepressant sertraline. However, higher doses of sertraline restored social withdrawal and elevated BDNF levels. Acute treatment with a low dose of sertraline failed to reverse the effects of defeat. Infusions of the selective tyrosine-related kinase B receptor (TrkB) antagonist ANA-12 into the anterior BNST specifically increased social interaction in stressed females but had no effect on behavior in females naive to defeat. These results suggest that stress-induced increases in BDNF in the anterior BNST contribute to the exaggerated social withdrawal phenotype observed in females.","container-title":"Front Behav Neurosci","DOI":"10.3389/fnbeh.2013.00223","ISSN":"1662-5153","journalAbbreviation":"Frontiers in behavioral neuroscience","language":"eng","note":"PMCID: PMC3885825","page":"223","title":"Sex differences in stress-induced social withdrawal: role of brain derived neurotrophic factor in the bed nucleus of the stria terminalis","volume":"7","author":[{"family":"Greenberg","given":"G. D."},{"family":"Laman-Maharg","given":"A."},{"family":"Campi","given":"K. L."},{"family":"Voigt","given":"H."},{"family":"Orr","given":"V. N."},{"family":"Schaal","given":"L."},{"family":"Trainor","given":"B. C."}],"issued":{"date-parts":[["2014"]]}}},{"id":1435,"uris":["http://zotero.org/users/5661202/items/E5M6K3MG"],"itemData":{"id":1435,"type":"article-journal","abstract":"Stressful life experiences are known to be a precipitating factor for many mental disorders. The social defeat model induces behavioral responses in rodents (e.g. reduced social interaction) that are similar to behavioral patterns associated with mood disorders. The model has contributed to the discovery of novel mechanisms regulating behavioral responses to stress, but its utility has been largely limited to males. This is disadvantageous because most mood disorders have a higher incidence in women versus men. Male and female California mice (Peromyscus californicus) aggressively defend territories, which allowed us to observe the effects of social defeat in both sexes. In two experiments, mice were exposed to three social defeat or control episodes. Mice were then behaviorally phenotyped, and indirect markers of brain activity and corticosterone responses to a novel social stimulus were assessed. Sex differences in behavioral responses to social stress were long lasting (4 wks). Social defeat reduced social interaction responses in females but not males. In females, social defeat induced an increase in the number of phosphorylated CREB positive cells in the nucleus accumbens shell after exposure to a novel social stimulus. This effect of defeat was not observed in males. The effects of defeat in females were limited to social contexts, as there were no differences in exploratory behavior in the open field or light-dark box test. These data suggest that California mice could be a useful model for studying sex differences in behavioral responses to stress, particularly in neurobiological mechanisms that are involved with the regulation of social behavior. ? 2011 Trainor et al.","container-title":"PLoS ONE","DOI":"10.1371/journal.pone.0017405","ISSN":"19326203","issue":"2","title":"Sex differences in social interaction behavior following social defeat stress in the monogamous California mouse (peromyscus californicus)","volume":"6","author":[{"family":"Trainor","given":"B.C."},{"family":"Pride","given":"M.C."},{"family":"Landeros","given":"R.V."},{"family":"Knoblauch","given":"N.W."},{"family":"Takahashi","given":"E.Y."},{"family":"Silva","given":"A.L."},{"family":"Crean","given":"K.K."}],"issued":{"date-parts":[["2011"]]}}},{"id":"dX9booob/6UuRvWMt","uris":["http://zotero.org/users/local/0DUDweI1/items/TUWL3VJ6"],"itemData":{"id":"fGfgluWi/8n1HUk8l","type":"article-journal","title":"Sex differences in stress-induced social withdrawal: independence from adult gonadal hormones and inhibition of female phenotype by corncob bedding","container-title":"Hormones and Behavior","page":"543-550","volume":"63","issue":"3","source":"PMC","abstract":"There is compelling evidence for important sex differences in behavioral and hormonal responses to psychosocial stress. Here we examined the effects of gonadal hormones on behavioral responses to social defeat stress in monogamous California mice (Peromyscus californicus). Three episodes of social defeat induced social withdrawal in intact females but not males. Gonadectomy blocked corticosterone responses to defeat in females and sensitized male corticosterone responses. However, gonadectomy had no effects on social interaction behavior, suggesting that social withdrawal is not dependent on gonadal hormones in the adult California mouse. In contrast, defeat reduced exploratory behavior in the open field test for intact but not castrated males. We also examined the effects of social defeat on social interaction behavior when California mice were raised on corncob bedding, which has estrogenic properties. In this dataset of over 300 mice, we observed that social defeat did not induce social withdrawal when females were raised on corncob bedding. This finding suggests that the use of corncob in rodent studies could mask important sex differences in the effects of stress on brain and behavior. Although gonadal hormones do not affect social withdrawal behavior in adults, our data suggest that hormones may act earlier in development to induce a more resilient social phenotype.","DOI":"10.1016/j.yhbeh.2013.01.011","ISSN":"0018-506X 1095-6867","author":[{"family":"Trainor","given":"Brian C."},{"family":"Takahashi","given":"Elizabeth Y."},{"family":"Campi","given":"Katharine L."},{"family":"Florez","given":"Stefani A."},{"family":"Greenberg","given":"Gian D."},{"family":"Laman-Maharg","given":"Abigail"},{"family":"Laredo","given":"Sarah A."},{"family":"Orr","given":"Veronica N."},{"family":"Silva","given":"Andrea L."},{"family":"Steinman","given":"Michael Q."}],"issued":{"date-parts":[["2013"]],"season":"04"}}},{"id":"dX9booob/LsooPuKo","uris":["http://zotero.org/users/local/0DUDweI1/items/DF8KUIXD"],"itemData":{"id":"fGfgluWi/W9NrbJ1E","type":"article-journal","abstract":"Dopamine neurons in the ventral tegmental area (VTA) have important functions related to rewards but are also activated in aversive contexts. Electrophysiology studies suggest that the degree to which VTA dopamine neurons respond to noxious stimuli is topographically organized across the dorsal-ventral extent. We used c-fos immunohistochemistry to examine the responses of VTA dopamine neurons in contexts of social defeat and social approach. Studying monogamous California mice (Peromyscus californicus) allowed us to observe the effects of social defeat on both males and females. Females exposed to three episodes of defeat, but not a single episode, had more tyrosine hydroxylase (TH)/c-fos-positive cells in the ventral (but not dorsal) VTA compared with controls. This observation suggests that repeated exposure to aversive contexts is necessary to trigger activation of VTA dopamine neurons. Defeat did not affect TH/c-fos colocalizations in males. We also examined the long-term effects of defeat on c-fos expression in a social interaction test. As previously reported, defeat reduced social interaction in females but not males. Surprisingly, there were no effects of defeat stress on TH/c-fos colocalizations in any subregion of the VTA. However, females had more TH/c-fos-positive cells than males across the entire VTA, and also had greater c-fos-positive cell counts in posterior subregions of the nucleus accumbens shell. Our results show that dopamine neurons in the VTA are more responsive to social contexts in females and that the ventral VTA in particular is sensitive to aversive contexts.","container-title":"Eur J Neurosci","DOI":"10.1111/ejn.13099","ISSN":"0953-816x","issue":"12","journalAbbreviation":"The European journal of neuroscience","language":"eng","note":"PMCID: PMC4715680","page":"3081-94","title":"Effects of social defeat on dopamine neurons in the ventral tegmental area in male and female California mice","volume":"42","author":[{"family":"Greenberg","given":"G. D."},{"family":"Steinman","given":"M. Q."},{"family":"Doig","given":"I. E."},{"family":"Hao","given":"R."},{"family":"Trainor","given":"B. C."}],"issued":{"date-parts":[["2015",12]]}}}],"schema":"https://github.com/citation-style-language/schema/raw/master/csl-citation.json"} </w:instrText>
      </w:r>
      <w:r w:rsidR="00F3296C" w:rsidRPr="00BC0B96">
        <w:fldChar w:fldCharType="separate"/>
      </w:r>
      <w:r w:rsidR="15ED6157" w:rsidRPr="00BC0B96">
        <w:rPr>
          <w:rFonts w:ascii="Calibri" w:hAnsi="Calibri" w:cs="Calibri"/>
        </w:rPr>
        <w:t>(38, 42, 43, 50)</w:t>
      </w:r>
      <w:r w:rsidR="00F3296C" w:rsidRPr="00BC0B96">
        <w:fldChar w:fldCharType="end"/>
      </w:r>
      <w:r w:rsidRPr="00BC0B96">
        <w:t xml:space="preserve"> and increases social vigilance </w:t>
      </w:r>
      <w:r w:rsidR="00F3296C" w:rsidRPr="00BC0B96">
        <w:fldChar w:fldCharType="begin"/>
      </w:r>
      <w:r w:rsidR="00563A6D" w:rsidRPr="00BC0B96">
        <w:instrText xml:space="preserve"> ADDIN ZOTERO_ITEM CSL_CITATION {"citationID":"MpUtyDFp","properties":{"formattedCitation":"(51)","plainCitation":"(51)","noteIndex":0},"citationItems":[{"id":7020,"uris":["http://zotero.org/users/5661202/items/EEB8VFAW"],"itemData":{"id":7020,"type":"article-journal","abstract":"BACKGROUND: The neuropeptide oxytocin (OT) is a key regulator of social and emotional behaviors. The effects of OT are context dependent, and it has been proposed that OT increases the salience of both positive and negative social cues. Here we tested whether the bed nucleus of the stria terminalis (BNST) mediates anxiogenic effects of OT.\nMETHODS: First, we studied the effects of systemic administration of an OT receptor (OTR) antagonist L-368,899 on social behavior in male and female California mice exposed to social defeat. We examined the effect of L-368,899 on G protein activation and used early growth response factor 1 immunohistochemistry to identify potential sites of OTR action. Finally, we examined the effects of L-368,899 infused in the BNST on behavior.\nRESULTS: A single dose of systemic L-368,899 increased social approach in stressed female mice and decreased social approach in male mice naïve to defeat. L-368,899 prevented OT activation of G proteins and did not activate G proteins in the absence of OT. Intranasal OT, which reduces social approach in female mice but not male mice, increased early growth response factor 1 immunoreactivity in the nucleus accumbens core and anteromedial BNST in female mice but not in male mice. Stressed female mice that received an infusion of L-368,899 into the anteromedial BNST but not the nucleus accumbens core increased social approach and decreased social vigilance responses.\nCONCLUSIONS: Our results suggest that OTR activation in anteromedial BNST induces a vigilance response in which individuals avoid, yet attend to, unfamiliar social contexts. Our results suggest that OTR antagonists may have unappreciated therapeutic potential for stress-induced psychiatric disorders.","container-title":"Biological Psychiatry","DOI":"10.1016/j.biopsych.2017.08.024","ISSN":"1873-2402","issue":"3","journalAbbreviation":"Biol. Psychiatry","language":"eng","note":"PMID: 29066224\nPMCID: PMC5743604","page":"203-213","source":"PubMed","title":"Oxytocin Receptors in the Anteromedial Bed Nucleus of the Stria Terminalis Promote Stress-Induced Social Avoidance in Female California Mice","volume":"83","author":[{"family":"Duque-Wilckens","given":"Natalia"},{"family":"Steinman","given":"Michael Q."},{"family":"Busnelli","given":"Marta"},{"family":"Chini","given":"Bice"},{"family":"Yokoyama","given":"Sae"},{"family":"Pham","given":"Mary"},{"family":"Laredo","given":"Sarah A."},{"family":"Hao","given":"Rebecca"},{"family":"Perkeybile","given":"Allison M."},{"family":"Minie","given":"Vanessa A."},{"family":"Tan","given":"Phillip B."},{"family":"Bales","given":"Karen L."},{"family":"Trainor","given":"Brian C."}],"issued":{"date-parts":[["2018",2,1]]}}}],"schema":"https://github.com/citation-style-language/schema/raw/master/csl-citation.json"} </w:instrText>
      </w:r>
      <w:r w:rsidR="00F3296C" w:rsidRPr="00BC0B96">
        <w:fldChar w:fldCharType="separate"/>
      </w:r>
      <w:r w:rsidR="15ED6157" w:rsidRPr="00BC0B96">
        <w:rPr>
          <w:rFonts w:ascii="Calibri" w:hAnsi="Calibri" w:cs="Calibri"/>
        </w:rPr>
        <w:t>(51)</w:t>
      </w:r>
      <w:r w:rsidR="00F3296C" w:rsidRPr="00BC0B96">
        <w:fldChar w:fldCharType="end"/>
      </w:r>
      <w:r w:rsidRPr="00BC0B96">
        <w:t xml:space="preserve"> in females but not males. During the acclimation phase </w:t>
      </w:r>
      <w:r w:rsidRPr="00BC0B96">
        <w:lastRenderedPageBreak/>
        <w:t>females spent more time investigating an empty cage than males (Fig. 1F, F</w:t>
      </w:r>
      <w:r w:rsidR="00F3296C" w:rsidRPr="00BC0B96">
        <w:rPr>
          <w:bCs/>
        </w:rPr>
        <w:softHyphen/>
      </w:r>
      <w:r w:rsidRPr="00BC0B96">
        <w:rPr>
          <w:vertAlign w:val="subscript"/>
        </w:rPr>
        <w:t>1,27</w:t>
      </w:r>
      <w:r w:rsidRPr="00BC0B96">
        <w:t>=6.64, p=0.016) with no effects of stress. There were no differences in locomotor behavior in the open field phase (Fig. 1G), time spent in the center (Fig. S2A) or vigilance behavior during the acclimation phase (Fig S2B). Together with previous work, these results suggest that developmental changes during puberty contribute to sex differences in stress responses in adults.</w:t>
      </w:r>
    </w:p>
    <w:p w14:paraId="6A97B065" w14:textId="77777777" w:rsidR="00F3296C" w:rsidRPr="00BC0B96" w:rsidRDefault="00F3296C" w:rsidP="00F3296C">
      <w:pPr>
        <w:spacing w:line="360" w:lineRule="auto"/>
      </w:pPr>
    </w:p>
    <w:p w14:paraId="5856F2F9" w14:textId="63D97BC2" w:rsidR="00F3296C" w:rsidRPr="00BC0B96" w:rsidRDefault="00F3296C">
      <w:pPr>
        <w:spacing w:line="360" w:lineRule="auto"/>
      </w:pPr>
      <w:r w:rsidRPr="43608D62">
        <w:rPr>
          <w:b/>
          <w:bCs/>
        </w:rPr>
        <w:t xml:space="preserve">Gonadal Hormones Reduce Susceptibility to Defeat in Adult Males. </w:t>
      </w:r>
      <w:r>
        <w:t xml:space="preserve">To assess the impact of gonadal hormones during puberty, males were </w:t>
      </w:r>
      <w:r w:rsidR="003E57DD">
        <w:t xml:space="preserve">randomly </w:t>
      </w:r>
      <w:r>
        <w:t xml:space="preserve">assigned to prepubertal castration, sham surgery, or no surgery </w:t>
      </w:r>
      <w:r w:rsidR="6E596FDF">
        <w:t xml:space="preserve">between PN35-40 </w:t>
      </w:r>
      <w:r>
        <w:t xml:space="preserve">(Fig. 2A). Gonadectomy affected social approach only in males that were exposed to social defeat as adults (Fig. 2B, </w:t>
      </w:r>
      <w:proofErr w:type="spellStart"/>
      <w:r>
        <w:t>trt</w:t>
      </w:r>
      <w:proofErr w:type="spellEnd"/>
      <w:r>
        <w:t>*stress F</w:t>
      </w:r>
      <w:r w:rsidRPr="43608D62">
        <w:rPr>
          <w:vertAlign w:val="subscript"/>
        </w:rPr>
        <w:t>2,41</w:t>
      </w:r>
      <w:r>
        <w:t xml:space="preserve">=3.32, p&lt;0.05). Castrated males exposed to defeat had reduced social approach versus controls (p&lt;0.0001, d=2.6) whereas there was no effect of defeat in sham or no surgery males. Similarly, social defeat increased social vigilance in castrated (Fig. 2C, Mann-Whitney U=23.5, p&lt;0.01, d=1.6) but not sham or no surgery mice. There were no differences in behavior during the acclimation (Fig. 2D, S3A) or open field phases (Fig. 2E, S3B). The results contrast sharply with previous results that showed no effect of adult castration or ovariectomy on stress-induced social avoidance in California mice </w:t>
      </w:r>
      <w:r>
        <w:fldChar w:fldCharType="begin"/>
      </w:r>
      <w:r w:rsidR="00C327F5">
        <w:instrText xml:space="preserve"> ADDIN ZOTERO_ITEM CSL_CITATION {"citationID":"hOOrD8rF","properties":{"formattedCitation":"(43)","plainCitation":"(43)","noteIndex":0},"citationItems":[{"id":"dX9booob/6UuRvWMt","uris":["http://zotero.org/users/local/0DUDweI1/items/TUWL3VJ6"],"itemData":{"id":"uGHsRg9B/KWoYDnhX","type":"article-journal","title":"Sex differences in stress-induced social withdrawal: independence from adult gonadal hormones and inhibition of female phenotype by corncob bedding","container-title":"Hormones and Behavior","page":"543-550","volume":"63","issue":"3","source":"PMC","abstract":"There is compelling evidence for important sex differences in behavioral and hormonal responses to psychosocial stress. Here we examined the effects of gonadal hormones on behavioral responses to social defeat stress in monogamous California mice (Peromyscus californicus). Three episodes of social defeat induced social withdrawal in intact females but not males. Gonadectomy blocked corticosterone responses to defeat in females and sensitized male corticosterone responses. However, gonadectomy had no effects on social interaction behavior, suggesting that social withdrawal is not dependent on gonadal hormones in the adult California mouse. In contrast, defeat reduced exploratory behavior in the open field test for intact but not castrated males. We also examined the effects of social defeat on social interaction behavior when California mice were raised on corncob bedding, which has estrogenic properties. In this dataset of over 300 mice, we observed that social defeat did not induce social withdrawal when females were raised on corncob bedding. This finding suggests that the use of corncob in rodent studies could mask important sex differences in the effects of stress on brain and behavior. Although gonadal hormones do not affect social withdrawal behavior in adults, our data suggest that hormones may act earlier in development to induce a more resilient social phenotype.","DOI":"10.1016/j.yhbeh.2013.01.011","ISSN":"0018-506X 1095-6867","author":[{"family":"Trainor","given":"Brian C."},{"family":"Takahashi","given":"Elizabeth Y."},{"family":"Campi","given":"Katharine L."},{"family":"Florez","given":"Stefani A."},{"family":"Greenberg","given":"Gian D."},{"family":"Laman-Maharg","given":"Abigail"},{"family":"Laredo","given":"Sarah A."},{"family":"Orr","given":"Veronica N."},{"family":"Silva","given":"Andrea L."},{"family":"Steinman","given":"Michael Q."}],"issued":{"date-parts":[["2013"]],"season":"04"}}}],"schema":"https://github.com/citation-style-language/schema/raw/master/csl-citation.json"} </w:instrText>
      </w:r>
      <w:r>
        <w:fldChar w:fldCharType="separate"/>
      </w:r>
      <w:r w:rsidR="00563A6D" w:rsidRPr="43608D62">
        <w:rPr>
          <w:rFonts w:ascii="Calibri" w:hAnsi="Calibri" w:cs="Calibri"/>
          <w:sz w:val="24"/>
          <w:szCs w:val="24"/>
        </w:rPr>
        <w:t>(43)</w:t>
      </w:r>
      <w:r>
        <w:fldChar w:fldCharType="end"/>
      </w:r>
      <w:r>
        <w:t xml:space="preserve">, and point to gonadal hormones acting during </w:t>
      </w:r>
      <w:r w:rsidR="20809E9D" w:rsidRPr="00DE743C">
        <w:t>puberty</w:t>
      </w:r>
      <w:r>
        <w:t xml:space="preserve"> as a key mechanism of sexual differentiation. These data suggest that pubertal hormones play a</w:t>
      </w:r>
      <w:r w:rsidR="00DD7D58">
        <w:t>n organizing</w:t>
      </w:r>
      <w:r>
        <w:t xml:space="preserve"> role in the brain to diminish the effects of social defeat on social approach and social vigilance</w:t>
      </w:r>
      <w:r w:rsidR="00A35908">
        <w:t xml:space="preserve"> in males</w:t>
      </w:r>
      <w:r>
        <w:t xml:space="preserve">. The BNST plays a key role in modulating stress-induced social avoidance and social vigilance in males and females </w:t>
      </w:r>
      <w:r>
        <w:fldChar w:fldCharType="begin"/>
      </w:r>
      <w:r w:rsidR="00C327F5">
        <w:instrText xml:space="preserve"> ADDIN ZOTERO_ITEM CSL_CITATION {"citationID":"iC5eyScV","properties":{"formattedCitation":"(38, 41, 51)","plainCitation":"(38, 41, 51)","noteIndex":0},"citationItems":[{"id":8940,"uris":["http://zotero.org/users/5661202/items/XIXPV4QQ"],"itemData":{"id":8940,"type":"article-journal","abstract":"Oxytocin is a neuropeptide that can produce anxiolytic effects and promote social approach. However, emerging evidence shows that under some conditions, oxytocin can instead induce anxiety-related behaviors. These diverse effects of oxytocin appear to be mediated by circuit-specific actions. Recent data showed that inhibition of oxytocin receptors (OTRs) in the bed nucleus of the stria terminalis (BNST) was sufficient to increase social approach and decrease social vigilance in female California mice (Peromyscus californicus) exposed to social defeat stress. As a member of the G-protein coupled receptor family, OTRs can induce distinct downstream pathways by coupling to different G-protein isoforms. We show that infusion of carbetocin, a biased OTR-Gq agonist, in the BNST reduced social approach in both female and male California mice. In both females and males, carbetocin also increased social vigilance. To gain insight into cell types that could be mediating this effect, we analyzed previously published single-cell RNAseq data from the BNST and nucleus accumbens (NAc). In the NAc, we and others showed that OTR activation promotes social approach behaviors. In the BNST, Oxtr was expressed in over 40 cell types, that span both posterior and anterior subregions of the BNST. The majority of Oxtr-expressing neurons were GABAergic. In the anterior regions of BNST targeted in our carbetocin experiments, Cyp26b1-expressing neurons had high average Oxtr expression. In the NAc, most Oxtr+ cells were D1 dopamine receptor-expressing neurons and interneurons. These differences in Oxtr cell type distribution may help explain how activation of OTR in BNST versus NAc can have different effects on social approach and social vigilance.","container-title":"Hormones and Behavior","DOI":"10.1016/j.yhbeh.2022.105203","ISSN":"0018-506X","journalAbbreviation":"Hormones and Behavior","language":"en","page":"105203","source":"ScienceDirect","title":"Oxytocin receptor behavioral effects and cell types in the bed nucleus of the stria terminalis","volume":"143","author":[{"family":"Luo","given":"Pei X."},{"family":"Zakharenkov","given":"Hannah Cortez"},{"family":"Torres","given":"Lisette Y."},{"family":"Rios","given":"Roberto A."},{"family":"Gegenhuber","given":"Bruno"},{"family":"Black","given":"Alexis M."},{"family":"Xu","given":"Christine K."},{"family":"Minie","given":"Vanessa A."},{"family":"Tran","given":"Amy M."},{"family":"Tollkuhn","given":"Jessica"},{"family":"Trainor","given":"Brian C."}],"issued":{"date-parts":[["2022",7,1]]}}},{"id":7020,"uris":["http://zotero.org/users/5661202/items/EEB8VFAW"],"itemData":{"id":7020,"type":"article-journal","abstract":"BACKGROUND: The neuropeptide oxytocin (OT) is a key regulator of social and emotional behaviors. The effects of OT are context dependent, and it has been proposed that OT increases the salience of both positive and negative social cues. Here we tested whether the bed nucleus of the stria terminalis (BNST) mediates anxiogenic effects of OT.\nMETHODS: First, we studied the effects of systemic administration of an OT receptor (OTR) antagonist L-368,899 on social behavior in male and female California mice exposed to social defeat. We examined the effect of L-368,899 on G protein activation and used early growth response factor 1 immunohistochemistry to identify potential sites of OTR action. Finally, we examined the effects of L-368,899 infused in the BNST on behavior.\nRESULTS: A single dose of systemic L-368,899 increased social approach in stressed female mice and decreased social approach in male mice naïve to defeat. L-368,899 prevented OT activation of G proteins and did not activate G proteins in the absence of OT. Intranasal OT, which reduces social approach in female mice but not male mice, increased early growth response factor 1 immunoreactivity in the nucleus accumbens core and anteromedial BNST in female mice but not in male mice. Stressed female mice that received an infusion of L-368,899 into the anteromedial BNST but not the nucleus accumbens core increased social approach and decreased social vigilance responses.\nCONCLUSIONS: Our results suggest that OTR activation in anteromedial BNST induces a vigilance response in which individuals avoid, yet attend to, unfamiliar social contexts. Our results suggest that OTR antagonists may have unappreciated therapeutic potential for stress-induced psychiatric disorders.","container-title":"Biological Psychiatry","DOI":"10.1016/j.biopsych.2017.08.024","ISSN":"1873-2402","issue":"3","journalAbbreviation":"Biol. Psychiatry","language":"eng","note":"PMID: 29066224\nPMCID: PMC5743604","page":"203-213","source":"PubMed","title":"Oxytocin Receptors in the Anteromedial Bed Nucleus of the Stria Terminalis Promote Stress-Induced Social Avoidance in Female California Mice","volume":"83","author":[{"family":"Duque-Wilckens","given":"Natalia"},{"family":"Steinman","given":"Michael Q."},{"family":"Busnelli","given":"Marta"},{"family":"Chini","given":"Bice"},{"family":"Yokoyama","given":"Sae"},{"family":"Pham","given":"Mary"},{"family":"Laredo","given":"Sarah A."},{"family":"Hao","given":"Rebecca"},{"family":"Perkeybile","given":"Allison M."},{"family":"Minie","given":"Vanessa A."},{"family":"Tan","given":"Phillip B."},{"family":"Bales","given":"Karen L."},{"family":"Trainor","given":"Brian C."}],"issued":{"date-parts":[["2018",2,1]]}}},{"id":"dX9booob/o1LpRfwP","uris":["http://zotero.org/users/local/0DUDweI1/items/C3T3VPJV"],"itemData":{"id":"uGHsRg9B/qfQGtVe9","type":"article-journal","abstract":"Depression and anxiety disorders are more common in women than men, and little is known about the neurobiological mechanisms that contribute to this disparity. Recent data suggest that stress-induced changes in neurotrophins have opposing effects on behavior by acting in different brain networks. Social defeat has been an important approach for understanding neurotrophin action, but low female aggression levels in rats and mice have limited the application of these methods primarily to males. We examined the effects of social defeat in monogamous California mice (Peromyscus californicus), a species in which both males and females defend territories. We demonstrate that defeat stress increases mature brain-derived neurotrophic factor (BDNF) protein but not mRNA in the bed nucleus of the stria terminalis (BNST) in females but not males. Changes in BDNF protein were limited to anterior subregions of the BNST, and there were no changes in the adjacent nucleus accumbens (NAc). The effects of defeat on social withdrawal behavior and BDNF were reversed by chronic, low doses of the antidepressant sertraline. However, higher doses of sertraline restored social withdrawal and elevated BDNF levels. Acute treatment with a low dose of sertraline failed to reverse the effects of defeat. Infusions of the selective tyrosine-related kinase B receptor (TrkB) antagonist ANA-12 into the anterior BNST specifically increased social interaction in stressed females but had no effect on behavior in females naive to defeat. These results suggest that stress-induced increases in BDNF in the anterior BNST contribute to the exaggerated social withdrawal phenotype observed in females.","container-title":"Front Behav Neurosci","DOI":"10.3389/fnbeh.2013.00223","ISSN":"1662-5153","journalAbbreviation":"Frontiers in behavioral neuroscience","language":"eng","note":"PMCID: PMC3885825","page":"223","title":"Sex differences in stress-induced social withdrawal: role of brain derived neurotrophic factor in the bed nucleus of the stria terminalis","volume":"7","author":[{"family":"Greenberg","given":"G. D."},{"family":"Laman-Maharg","given":"A."},{"family":"Campi","given":"K. L."},{"family":"Voigt","given":"H."},{"family":"Orr","given":"V. N."},{"family":"Schaal","given":"L."},{"family":"Trainor","given":"B. C."}],"issued":{"date-parts":[["2014"]]}}}],"schema":"https://github.com/citation-style-language/schema/raw/master/csl-citation.json"} </w:instrText>
      </w:r>
      <w:r>
        <w:fldChar w:fldCharType="separate"/>
      </w:r>
      <w:r w:rsidR="00563A6D" w:rsidRPr="43608D62">
        <w:rPr>
          <w:rFonts w:ascii="Calibri" w:hAnsi="Calibri" w:cs="Calibri"/>
          <w:sz w:val="24"/>
          <w:szCs w:val="24"/>
        </w:rPr>
        <w:t>(38, 41, 51)</w:t>
      </w:r>
      <w:r>
        <w:fldChar w:fldCharType="end"/>
      </w:r>
      <w:r>
        <w:t xml:space="preserve">. Since prepubertal castration did not affect behavior in unstressed mice, we used fiber photometry to assess effects of castration on BNST neural activity in males exposed to defeat. </w:t>
      </w:r>
    </w:p>
    <w:p w14:paraId="1AB423F5" w14:textId="77777777" w:rsidR="00F3296C" w:rsidRPr="00BC0B96" w:rsidRDefault="00F3296C" w:rsidP="00F3296C">
      <w:pPr>
        <w:spacing w:line="360" w:lineRule="auto"/>
      </w:pPr>
    </w:p>
    <w:p w14:paraId="0BD43E41" w14:textId="43A357C9" w:rsidR="00F3296C" w:rsidRPr="00BC0B96" w:rsidRDefault="00F3296C" w:rsidP="00F3296C">
      <w:pPr>
        <w:spacing w:line="360" w:lineRule="auto"/>
      </w:pPr>
      <w:r w:rsidRPr="3865CA10">
        <w:rPr>
          <w:b/>
          <w:bCs/>
        </w:rPr>
        <w:t xml:space="preserve">Calcium imaging of the BNST activity in castrated and intact males. </w:t>
      </w:r>
      <w:r>
        <w:t xml:space="preserve">Previous immediate early gene analyses show that social stress increases </w:t>
      </w:r>
      <w:r w:rsidR="00EB3AFF">
        <w:t xml:space="preserve">neural </w:t>
      </w:r>
      <w:r>
        <w:t xml:space="preserve">activity within the BNST </w:t>
      </w:r>
      <w:r>
        <w:fldChar w:fldCharType="begin"/>
      </w:r>
      <w:r>
        <w:instrText xml:space="preserve"> ADDIN ZOTERO_ITEM CSL_CITATION {"citationID":"jfW1O9XX","properties":{"formattedCitation":"(52, 53)","plainCitation":"(52, 53)","noteIndex":0},"citationItems":[{"id":9674,"uris":["http://zotero.org/users/5661202/items/X3ZYCPDS"],"itemData":{"id":9674,"type":"article-journal","abstract":"Abstract\n            We recently reported that dopamine D1 receptor in the medial prefrontal cortex (mPFC) is activated by subthreshold social defeat stress and suppresses the induction of depressive-like behavior in mice. However, which mPFC projection(s) mediates this antidepressant-like effect remains poorly understood. Here we show that social defeat stress specifically increased c-Fos expression, a marker for neuronal activity, in distinct brain regions involved in emotional regulation, relative to novelty-induced exploration. Among these brain areas, D1 knockdown in the mPFC decreased social defeat stress-induced c-Fos expression in the interstitial nucleus of the posterior limb of the anterior commissure (IPAC), a subregion of the extended amygdala. Using retrograde adeno-associated virus vectors and transgenic mice expressing Cre recombinase under the D1 promoter, we also found that D1-expressing deep-layer pyramidal neurons in the mPFC send direct projections to the IPAC. These findings indicate that social defeat stress specifically activates neurons in distinct brain areas, among which the IPAC is regulated by dopamine D1 receptor in the mPFC perhaps through direct projections. Thus, this study provides hints toward identifying neural circuits that underlie antidepressant-like effects of stress-induced dopamine D1 receptor signaling in the mPFC.","container-title":"Scientific Reports","DOI":"10.1038/s41598-019-52997-7","ISSN":"2045-2322","issue":"1","journalAbbreviation":"Sci Rep","language":"en","page":"16670","source":"DOI.org (Crossref)","title":"Social defeat stress-specific increase in c-Fos expression in the extended amygdala in mice: Involvement of dopamine D1 receptor in the medial prefrontal cortex","title-short":"Social defeat stress-specific increase in c-Fos expression in the extended amygdala in mice","volume":"9","author":[{"family":"Numa","given":"Chisato"},{"family":"Nagai","given":"Hirotaka"},{"family":"Taniguchi","given":"Masayuki"},{"family":"Nagai","given":"Midori"},{"family":"Shinohara","given":"Ryota"},{"family":"Furuyashiki","given":"Tomoyuki"}],"issued":{"date-parts":[["2019",11,13]]}}},{"id":9676,"uris":["http://zotero.org/users/5661202/items/PFM86MYM"],"itemData":{"id":9676,"type":"article-journal","container-title":"Journal of Neuroendocrinology","DOI":"10.1046/j.1365-2826.1999.00354.x","ISSN":"0953-8194, 1365-2826","issue":"7","journalAbbreviation":"Journal of Neuroendocrinology","language":"en","page":"547-559","source":"DOI.org (Crossref)","title":"Differential Expression of c‐ &lt;i&gt;fos&lt;/i&gt; mRNA Within Neurocircuits of Male Hamsters Exposed to Acute or Chronic Defeat","volume":"11","author":[{"literal":"Kollack‐Walker"},{"literal":"Don"},{"literal":"Watson"},{"literal":"Akil"}],"issued":{"date-parts":[["1999",7]]}}}],"schema":"https://github.com/citation-style-language/schema/raw/master/csl-citation.json"} </w:instrText>
      </w:r>
      <w:r>
        <w:fldChar w:fldCharType="separate"/>
      </w:r>
      <w:r w:rsidR="00563A6D" w:rsidRPr="3865CA10">
        <w:rPr>
          <w:rFonts w:ascii="Calibri" w:hAnsi="Calibri" w:cs="Calibri"/>
          <w:sz w:val="24"/>
          <w:szCs w:val="24"/>
        </w:rPr>
        <w:t>(52, 53)</w:t>
      </w:r>
      <w:r>
        <w:fldChar w:fldCharType="end"/>
      </w:r>
      <w:r>
        <w:t>.</w:t>
      </w:r>
      <w:r w:rsidR="00140E60">
        <w:t xml:space="preserve"> These</w:t>
      </w:r>
      <w:r>
        <w:t xml:space="preserve"> analyses provide a snapshot of activity over about 1 </w:t>
      </w:r>
      <w:proofErr w:type="spellStart"/>
      <w:r>
        <w:t>hr</w:t>
      </w:r>
      <w:proofErr w:type="spellEnd"/>
      <w:r>
        <w:t xml:space="preserve">, </w:t>
      </w:r>
      <w:r w:rsidR="00140E60">
        <w:t xml:space="preserve">so </w:t>
      </w:r>
      <w:r>
        <w:t xml:space="preserve">it is impossible to determine if increased activity occurs during brief episodes of contact with social </w:t>
      </w:r>
      <w:r w:rsidR="227F8E61">
        <w:t>threats</w:t>
      </w:r>
      <w:r>
        <w:t xml:space="preserve"> or during periods of avoidance.</w:t>
      </w:r>
      <w:r w:rsidR="005B79B1">
        <w:t xml:space="preserve"> </w:t>
      </w:r>
      <w:r w:rsidR="0034203E">
        <w:t xml:space="preserve">We used the sub-second temporal resolution of GCaMP6f </w:t>
      </w:r>
      <w:r w:rsidR="00F217EB">
        <w:t>c</w:t>
      </w:r>
      <w:r w:rsidR="00EB3AFF">
        <w:t xml:space="preserve">alcium imaging </w:t>
      </w:r>
      <w:r w:rsidR="00F217EB">
        <w:t>to</w:t>
      </w:r>
      <w:r w:rsidR="00A133A5">
        <w:t xml:space="preserve"> </w:t>
      </w:r>
      <w:r w:rsidR="00A133A5">
        <w:lastRenderedPageBreak/>
        <w:t xml:space="preserve">evaluate activity </w:t>
      </w:r>
      <w:r w:rsidR="00D6379A">
        <w:t xml:space="preserve">in the medioventral BNST </w:t>
      </w:r>
      <w:r w:rsidR="00A133A5">
        <w:t>during discrete behavioral episodes and</w:t>
      </w:r>
      <w:r w:rsidR="003A26A5">
        <w:t xml:space="preserve"> to determine</w:t>
      </w:r>
      <w:r w:rsidR="00A133A5">
        <w:t xml:space="preserve"> how </w:t>
      </w:r>
      <w:r w:rsidR="00D6379A">
        <w:t xml:space="preserve">this activity was modulated by </w:t>
      </w:r>
      <w:r w:rsidR="00F217EB">
        <w:t xml:space="preserve">prepubertal castration </w:t>
      </w:r>
      <w:r w:rsidR="00EB3AFF">
        <w:t xml:space="preserve">(Fig. 3A, 3B). </w:t>
      </w:r>
      <w:r>
        <w:t xml:space="preserve">Using </w:t>
      </w:r>
      <w:proofErr w:type="spellStart"/>
      <w:r>
        <w:t>DeepLabCut</w:t>
      </w:r>
      <w:proofErr w:type="spellEnd"/>
      <w:r>
        <w:t xml:space="preserve"> (Fig. 3C, 3D) we determined orientation </w:t>
      </w:r>
      <w:r w:rsidRPr="3865CA10">
        <w:rPr>
          <w:rFonts w:eastAsia="Times New Roman"/>
        </w:rPr>
        <w:fldChar w:fldCharType="begin"/>
      </w:r>
      <w:r w:rsidRPr="3865CA10">
        <w:rPr>
          <w:rFonts w:eastAsia="Times New Roman"/>
        </w:rPr>
        <w:instrText xml:space="preserve"> ADDIN ZOTERO_ITEM CSL_CITATION {"citationID":"gJA4da7d","properties":{"formattedCitation":"(54)","plainCitation":"(54)","noteIndex":0},"citationItems":[{"id":9612,"uris":["http://zotero.org/users/5661202/items/QI8F4SB4"],"itemData":{"id":9612,"type":"article-journal","abstract":"Stereopsis is a ubiquitous feature of primate mammalian vision, but little is known about if and how rodents such as mice use stereoscopic vision. We used random dot stereograms to test for stereopsis in male and female mice, and they were able to discriminate near from far surfaces over a range of disparities, with diminishing performance for small and large binocular disparities. Based on two-photon measurements of disparity tuning, the range of disparities represented in the visual cortex aligns with the behavior and covers a broad range of disparities. When we examined their binocular eye movements, we found that, unlike primates, mice did not systematically vary relative eye positions or use vergence eye movements when presented with different disparities. Nonetheless, the representation of disparity tuning was wide enough to capture stereoscopic information over a range of potential vergence angles. Although mice share fundamental characteristics of stereoscopic vision with primates and carnivores, their lack of disparity-dependent vergence eye movements and wide neuronal representation suggests that they may use a distinct strategy for stereopsis.\nSIGNIFICANCE STATEMENT Binocular vision allows us to derive depth information by comparing right and left eye information. We characterized binocular integration in mice because tools exist in these animals to dissect the underlying neural circuitry for binocular vision. Using random dot stereograms, we find that behavior and disparity tuning in the visual cortex share fundamental characteristics with primates, but we did not observe any evidence of disparity-dependent changes in vergence angle. We propose that mice use a distinct strategy of stereopsis compared with primates by using a broad range of disparities to encode depth over a large field of view and to compensate for nonstereoscopic changes in vergence angle that arise during natural behavior.","container-title":"Journal of Neuroscience","DOI":"10.1523/JNEUROSCI.0895-19.2019","ISSN":"0270-6474, 1529-2401","issue":"41","journalAbbreviation":"J. Neurosci.","language":"en","license":"Copyright © 2019 the authors","note":"publisher: Society for Neuroscience\nsection: Research Articles\nPMID: 31462533","page":"8024-8037","source":"www.jneurosci.org","title":"Mice Discriminate Stereoscopic Surfaces Without Fixating in Depth","volume":"39","author":[{"family":"Samonds","given":"Jason M."},{"family":"Choi","given":"Veronica"},{"family":"Priebe","given":"Nicholas J."}],"issued":{"date-parts":[["2019",10,9]]}}}],"schema":"https://github.com/citation-style-language/schema/raw/master/csl-citation.json"} </w:instrText>
      </w:r>
      <w:r w:rsidRPr="3865CA10">
        <w:rPr>
          <w:rFonts w:eastAsia="Times New Roman"/>
        </w:rPr>
        <w:fldChar w:fldCharType="separate"/>
      </w:r>
      <w:r w:rsidR="00563A6D" w:rsidRPr="3865CA10">
        <w:rPr>
          <w:rFonts w:ascii="Calibri" w:hAnsi="Calibri" w:cs="Calibri"/>
          <w:sz w:val="24"/>
          <w:szCs w:val="24"/>
        </w:rPr>
        <w:t>(54)</w:t>
      </w:r>
      <w:r w:rsidRPr="3865CA10">
        <w:rPr>
          <w:rFonts w:eastAsia="Times New Roman"/>
        </w:rPr>
        <w:fldChar w:fldCharType="end"/>
      </w:r>
      <w:r w:rsidRPr="3865CA10">
        <w:rPr>
          <w:rFonts w:eastAsia="Times New Roman"/>
        </w:rPr>
        <w:t xml:space="preserve"> </w:t>
      </w:r>
      <w:r>
        <w:t>and distance between focal mice and target mice</w:t>
      </w:r>
      <w:r w:rsidR="00EB354B">
        <w:t xml:space="preserve"> </w:t>
      </w:r>
      <w:r w:rsidR="00281F86">
        <w:t>with (aggressor) or without</w:t>
      </w:r>
      <w:r w:rsidR="001D7960">
        <w:t xml:space="preserve"> (naïve) prior experience winning aggressive encounters</w:t>
      </w:r>
      <w:r>
        <w:t xml:space="preserve">. </w:t>
      </w:r>
      <w:r w:rsidRPr="3865CA10">
        <w:rPr>
          <w:rFonts w:eastAsia="Times New Roman"/>
        </w:rPr>
        <w:t>I</w:t>
      </w:r>
      <w:r>
        <w:t>ncreased</w:t>
      </w:r>
      <w:r w:rsidR="278EEE68">
        <w:t xml:space="preserve"> GCaMP6f</w:t>
      </w:r>
      <w:r>
        <w:t xml:space="preserve"> </w:t>
      </w:r>
      <w:r w:rsidR="22F3D2A0">
        <w:t>fluorescence</w:t>
      </w:r>
      <w:r w:rsidR="55E69622">
        <w:t xml:space="preserve"> response (</w:t>
      </w:r>
      <w:r>
        <w:t>ΔF/F</w:t>
      </w:r>
      <w:r w:rsidR="0A0E3C6D">
        <w:t>)</w:t>
      </w:r>
      <w:r>
        <w:t xml:space="preserve"> in BNST was observed when focal mice were within one body length (8 cm) of target mice and within the central (Fig. 3D, </w:t>
      </w:r>
      <w:r w:rsidRPr="3865CA10">
        <w:rPr>
          <w:rFonts w:eastAsia="Times New Roman"/>
        </w:rPr>
        <w:t>0°</w:t>
      </w:r>
      <w:r w:rsidRPr="3865CA10">
        <w:rPr>
          <w:rFonts w:ascii="Calibri" w:eastAsia="Calibri" w:hAnsi="Calibri" w:cs="Calibri"/>
        </w:rPr>
        <w:t>≥</w:t>
      </w:r>
      <w:r w:rsidRPr="3865CA10">
        <w:rPr>
          <w:rFonts w:eastAsia="Times New Roman"/>
        </w:rPr>
        <w:t xml:space="preserve">40°, </w:t>
      </w:r>
      <w:r w:rsidRPr="3865CA10">
        <w:rPr>
          <w:rFonts w:ascii="Calibri" w:eastAsia="Calibri" w:hAnsi="Calibri" w:cs="Calibri"/>
        </w:rPr>
        <w:t xml:space="preserve">β= -0.438, z= -9.783, p&gt;0.001) </w:t>
      </w:r>
      <w:r>
        <w:t>or peripheral visual field (</w:t>
      </w:r>
      <w:r w:rsidRPr="3865CA10">
        <w:rPr>
          <w:rFonts w:eastAsia="Times New Roman"/>
        </w:rPr>
        <w:t>40°</w:t>
      </w:r>
      <w:r w:rsidRPr="3865CA10">
        <w:rPr>
          <w:rFonts w:ascii="Calibri" w:eastAsia="Calibri" w:hAnsi="Calibri" w:cs="Calibri"/>
        </w:rPr>
        <w:t>≥10</w:t>
      </w:r>
      <w:r w:rsidRPr="3865CA10">
        <w:rPr>
          <w:rFonts w:eastAsia="Times New Roman"/>
        </w:rPr>
        <w:t xml:space="preserve">0°, </w:t>
      </w:r>
      <w:r w:rsidRPr="3865CA10">
        <w:rPr>
          <w:rFonts w:ascii="Calibri" w:eastAsia="Calibri" w:hAnsi="Calibri" w:cs="Calibri"/>
        </w:rPr>
        <w:t xml:space="preserve">β= -0.486, z= -10.356, p&gt;0.001), but not if the focal mouse was facing away from target mice </w:t>
      </w:r>
      <w:r w:rsidRPr="3865CA10">
        <w:rPr>
          <w:rFonts w:eastAsia="Times New Roman"/>
        </w:rPr>
        <w:t>(100°</w:t>
      </w:r>
      <w:r w:rsidRPr="3865CA10">
        <w:rPr>
          <w:rFonts w:ascii="Calibri" w:eastAsia="Calibri" w:hAnsi="Calibri" w:cs="Calibri"/>
        </w:rPr>
        <w:t>≥18</w:t>
      </w:r>
      <w:r w:rsidRPr="3865CA10">
        <w:rPr>
          <w:rFonts w:eastAsia="Times New Roman"/>
        </w:rPr>
        <w:t>0°)</w:t>
      </w:r>
      <w:r>
        <w:t>. We then examined ΔF/F in specific behavioral contexts.</w:t>
      </w:r>
    </w:p>
    <w:p w14:paraId="34A13C7F" w14:textId="27206CA1" w:rsidR="00B472C5" w:rsidRPr="00BC0B96" w:rsidRDefault="25817FC1" w:rsidP="4828ED11">
      <w:pPr>
        <w:spacing w:line="360" w:lineRule="auto"/>
      </w:pPr>
      <w:r w:rsidRPr="00BC0B96">
        <w:t xml:space="preserve">     Intriguingly, the most robust changes in ΔF/F occurred after close contact with aggress</w:t>
      </w:r>
      <w:r w:rsidR="6F2B9128" w:rsidRPr="00BC0B96">
        <w:t>or</w:t>
      </w:r>
      <w:r w:rsidRPr="00BC0B96">
        <w:t xml:space="preserve"> target m</w:t>
      </w:r>
      <w:r w:rsidR="08F56075" w:rsidRPr="00BC0B96">
        <w:t>ice</w:t>
      </w:r>
      <w:r w:rsidRPr="00BC0B96">
        <w:t>. After engaging in nose-to-nose sniffing</w:t>
      </w:r>
      <w:r w:rsidR="796A06FE" w:rsidRPr="00BC0B96">
        <w:t xml:space="preserve"> with aggressors</w:t>
      </w:r>
      <w:r w:rsidRPr="00BC0B96">
        <w:t xml:space="preserve">, both castrated and sham males showed a delayed increase in BNST ΔF/F (Fig. 3E, β=10.22, z=2.05, p=0.04).  In contrast, </w:t>
      </w:r>
      <w:r w:rsidR="792CC305" w:rsidRPr="00BC0B96">
        <w:t>after</w:t>
      </w:r>
      <w:r w:rsidRPr="00BC0B96">
        <w:t xml:space="preserve"> engaging in nose-to-nose sniffing with non-aggressive </w:t>
      </w:r>
      <w:r w:rsidR="08F56075" w:rsidRPr="00BC0B96">
        <w:t>naïve mice</w:t>
      </w:r>
      <w:r w:rsidRPr="00BC0B96">
        <w:t xml:space="preserve">, castrated males showed a larger increase in BNST ΔF/F than sham males (Fig. 3E, β=13.2, z=2.23, p=0.03). These results suggest that BNST ΔF/F is enhanced by social threats and that this response is more generalized in prepubertally castrated males. </w:t>
      </w:r>
      <w:r w:rsidR="2FA9EABF" w:rsidRPr="00BC0B96">
        <w:t xml:space="preserve">There were no acute or delayed changes in ΔF/F following bouts of freezing (Fig. 3F), which </w:t>
      </w:r>
      <w:r w:rsidRPr="00BC0B96">
        <w:t>was robustly induced by aggress</w:t>
      </w:r>
      <w:r w:rsidR="13603036" w:rsidRPr="00BC0B96">
        <w:t>or</w:t>
      </w:r>
      <w:r w:rsidRPr="00BC0B96">
        <w:t xml:space="preserve"> targets (Fig. S4) </w:t>
      </w:r>
      <w:r w:rsidR="1597D0B5" w:rsidRPr="00BC0B96">
        <w:t xml:space="preserve">and to a lesser extent by </w:t>
      </w:r>
      <w:r w:rsidR="13603036" w:rsidRPr="00BC0B96">
        <w:t>naive</w:t>
      </w:r>
      <w:r w:rsidRPr="00BC0B96">
        <w:t xml:space="preserve"> targets. We next examined bouts </w:t>
      </w:r>
      <w:r w:rsidRPr="00BC0B96">
        <w:rPr>
          <w:rFonts w:ascii="Calibri" w:eastAsia="Calibri" w:hAnsi="Calibri" w:cs="Calibri"/>
        </w:rPr>
        <w:t>of anogenital sniffing, which were less frequent and</w:t>
      </w:r>
      <w:r w:rsidR="00650467" w:rsidRPr="00BC0B96">
        <w:rPr>
          <w:rFonts w:ascii="Calibri" w:eastAsia="Calibri" w:hAnsi="Calibri" w:cs="Calibri"/>
        </w:rPr>
        <w:t xml:space="preserve"> primarily</w:t>
      </w:r>
      <w:r w:rsidRPr="00BC0B96">
        <w:rPr>
          <w:rFonts w:ascii="Calibri" w:eastAsia="Calibri" w:hAnsi="Calibri" w:cs="Calibri"/>
        </w:rPr>
        <w:t xml:space="preserve"> limited to non-aggressive</w:t>
      </w:r>
      <w:r w:rsidR="67C4E8B4" w:rsidRPr="00BC0B96">
        <w:rPr>
          <w:rFonts w:ascii="Calibri" w:eastAsia="Calibri" w:hAnsi="Calibri" w:cs="Calibri"/>
        </w:rPr>
        <w:t xml:space="preserve"> naive</w:t>
      </w:r>
      <w:r w:rsidRPr="00BC0B96">
        <w:rPr>
          <w:rFonts w:ascii="Calibri" w:eastAsia="Calibri" w:hAnsi="Calibri" w:cs="Calibri"/>
        </w:rPr>
        <w:t xml:space="preserve"> target mice (Fig. S4). </w:t>
      </w:r>
      <w:r w:rsidR="46789E8D" w:rsidRPr="00BC0B96">
        <w:rPr>
          <w:rFonts w:ascii="Calibri" w:eastAsia="Calibri" w:hAnsi="Calibri" w:cs="Calibri"/>
        </w:rPr>
        <w:t>C</w:t>
      </w:r>
      <w:r w:rsidRPr="00BC0B96">
        <w:rPr>
          <w:rFonts w:ascii="Calibri" w:eastAsia="Calibri" w:hAnsi="Calibri" w:cs="Calibri"/>
        </w:rPr>
        <w:t xml:space="preserve">astrated mice </w:t>
      </w:r>
      <w:r w:rsidR="46789E8D" w:rsidRPr="00BC0B96">
        <w:rPr>
          <w:rFonts w:ascii="Calibri" w:eastAsia="Calibri" w:hAnsi="Calibri" w:cs="Calibri"/>
        </w:rPr>
        <w:t xml:space="preserve">also </w:t>
      </w:r>
      <w:r w:rsidRPr="00BC0B96">
        <w:rPr>
          <w:rFonts w:ascii="Calibri" w:eastAsia="Calibri" w:hAnsi="Calibri" w:cs="Calibri"/>
        </w:rPr>
        <w:t xml:space="preserve">showed a larger delayed increase in </w:t>
      </w:r>
      <w:r w:rsidRPr="00BC0B96">
        <w:t>ΔF/F</w:t>
      </w:r>
      <w:r w:rsidRPr="00BC0B96">
        <w:rPr>
          <w:rFonts w:ascii="Calibri" w:eastAsia="Calibri" w:hAnsi="Calibri" w:cs="Calibri"/>
        </w:rPr>
        <w:t xml:space="preserve"> in BNST than shams (Fig. 3G, β=6.12, z=2.06, p=0.04)</w:t>
      </w:r>
      <w:r w:rsidRPr="00BC0B96">
        <w:t>. Finally, when castrated males were attacked by ag</w:t>
      </w:r>
      <w:r w:rsidRPr="00BC0B96">
        <w:rPr>
          <w:rFonts w:ascii="Calibri" w:eastAsia="Calibri" w:hAnsi="Calibri" w:cs="Calibri"/>
        </w:rPr>
        <w:t>gress</w:t>
      </w:r>
      <w:r w:rsidR="42A62CEF" w:rsidRPr="00BC0B96">
        <w:rPr>
          <w:rFonts w:ascii="Calibri" w:eastAsia="Calibri" w:hAnsi="Calibri" w:cs="Calibri"/>
        </w:rPr>
        <w:t>or</w:t>
      </w:r>
      <w:r w:rsidRPr="00BC0B96">
        <w:rPr>
          <w:rFonts w:ascii="Calibri" w:eastAsia="Calibri" w:hAnsi="Calibri" w:cs="Calibri"/>
        </w:rPr>
        <w:t xml:space="preserve"> target mice,</w:t>
      </w:r>
      <w:r w:rsidRPr="00BC0B96">
        <w:rPr>
          <w:rFonts w:ascii="Calibri" w:hAnsi="Calibri"/>
        </w:rPr>
        <w:t xml:space="preserve"> t</w:t>
      </w:r>
      <w:r w:rsidRPr="00BC0B96">
        <w:rPr>
          <w:rFonts w:ascii="Calibri" w:eastAsia="Calibri" w:hAnsi="Calibri" w:cs="Calibri"/>
        </w:rPr>
        <w:t>here were acute (Fig. 3H, β=</w:t>
      </w:r>
      <w:r w:rsidR="14F73C7F" w:rsidRPr="00BC0B96">
        <w:rPr>
          <w:rFonts w:ascii="Calibri" w:eastAsia="Calibri" w:hAnsi="Calibri" w:cs="Calibri"/>
        </w:rPr>
        <w:t xml:space="preserve"> 14.66</w:t>
      </w:r>
      <w:r w:rsidRPr="00BC0B96">
        <w:rPr>
          <w:rFonts w:ascii="Calibri" w:eastAsia="Calibri" w:hAnsi="Calibri" w:cs="Calibri"/>
        </w:rPr>
        <w:t>, z=2.56, p=0.01) and delayed (β=</w:t>
      </w:r>
      <w:r w:rsidR="6DFC8B1C" w:rsidRPr="00BC0B96">
        <w:rPr>
          <w:rFonts w:ascii="Calibri" w:eastAsia="Calibri" w:hAnsi="Calibri" w:cs="Calibri"/>
        </w:rPr>
        <w:t xml:space="preserve"> 15.25</w:t>
      </w:r>
      <w:r w:rsidRPr="00BC0B96">
        <w:rPr>
          <w:rFonts w:ascii="Calibri" w:eastAsia="Calibri" w:hAnsi="Calibri" w:cs="Calibri"/>
        </w:rPr>
        <w:t xml:space="preserve">, z=2.67, p=0.008) increases in </w:t>
      </w:r>
      <w:r w:rsidRPr="00BC0B96">
        <w:t>ΔF/F</w:t>
      </w:r>
      <w:r w:rsidRPr="00BC0B96">
        <w:rPr>
          <w:rFonts w:ascii="Calibri" w:eastAsia="Calibri" w:hAnsi="Calibri" w:cs="Calibri"/>
        </w:rPr>
        <w:t>.</w:t>
      </w:r>
      <w:r w:rsidR="00985A11" w:rsidRPr="00BC0B96">
        <w:rPr>
          <w:rFonts w:ascii="Calibri" w:eastAsia="Calibri" w:hAnsi="Calibri" w:cs="Calibri"/>
        </w:rPr>
        <w:t xml:space="preserve"> </w:t>
      </w:r>
      <w:r w:rsidR="38120A29" w:rsidRPr="00BC0B96">
        <w:rPr>
          <w:rFonts w:ascii="Calibri" w:eastAsia="Calibri" w:hAnsi="Calibri" w:cs="Calibri"/>
        </w:rPr>
        <w:t xml:space="preserve"> </w:t>
      </w:r>
      <w:r w:rsidR="00835B04" w:rsidRPr="00BC0B96">
        <w:rPr>
          <w:rFonts w:ascii="Calibri" w:eastAsia="Calibri" w:hAnsi="Calibri" w:cs="Calibri"/>
        </w:rPr>
        <w:t>T</w:t>
      </w:r>
      <w:r w:rsidR="38120A29" w:rsidRPr="00BC0B96">
        <w:rPr>
          <w:rFonts w:ascii="Calibri" w:eastAsia="Calibri" w:hAnsi="Calibri" w:cs="Calibri"/>
        </w:rPr>
        <w:t xml:space="preserve">o </w:t>
      </w:r>
      <w:r w:rsidR="4C4CFBFB" w:rsidRPr="00BC0B96">
        <w:rPr>
          <w:rFonts w:ascii="Calibri" w:eastAsia="Calibri" w:hAnsi="Calibri" w:cs="Calibri"/>
        </w:rPr>
        <w:t>assess the impact of defeat s</w:t>
      </w:r>
      <w:r w:rsidR="38120A29" w:rsidRPr="00BC0B96">
        <w:rPr>
          <w:rFonts w:ascii="Calibri" w:eastAsia="Calibri" w:hAnsi="Calibri" w:cs="Calibri"/>
        </w:rPr>
        <w:t xml:space="preserve">tress </w:t>
      </w:r>
      <w:r w:rsidR="4C4CFBFB" w:rsidRPr="00BC0B96">
        <w:rPr>
          <w:rFonts w:ascii="Calibri" w:eastAsia="Calibri" w:hAnsi="Calibri" w:cs="Calibri"/>
        </w:rPr>
        <w:t xml:space="preserve">on </w:t>
      </w:r>
      <w:r w:rsidR="0E2A74D5" w:rsidRPr="00BC0B96">
        <w:t>BNST activity</w:t>
      </w:r>
      <w:r w:rsidR="4C4CFBFB" w:rsidRPr="00BC0B96">
        <w:t>, we</w:t>
      </w:r>
      <w:r w:rsidR="087C1870" w:rsidRPr="00BC0B96">
        <w:t xml:space="preserve"> performed calcium imaging before and after social defeat stress in intact </w:t>
      </w:r>
      <w:r w:rsidR="00744BA7" w:rsidRPr="00BC0B96">
        <w:t xml:space="preserve">adult </w:t>
      </w:r>
      <w:r w:rsidR="087C1870" w:rsidRPr="00BC0B96">
        <w:t>male mice</w:t>
      </w:r>
      <w:r w:rsidR="47005413" w:rsidRPr="00BC0B96">
        <w:t xml:space="preserve"> (Fig. 4A)</w:t>
      </w:r>
      <w:r w:rsidR="087C1870" w:rsidRPr="00BC0B96">
        <w:t>.</w:t>
      </w:r>
    </w:p>
    <w:p w14:paraId="68650BB1" w14:textId="01065A48" w:rsidR="00F3296C" w:rsidRPr="00BC0B96" w:rsidRDefault="087C1870" w:rsidP="4828ED11">
      <w:pPr>
        <w:spacing w:line="360" w:lineRule="auto"/>
      </w:pPr>
      <w:r w:rsidRPr="00BC0B96">
        <w:t xml:space="preserve">    </w:t>
      </w:r>
      <w:r w:rsidR="619C5D75" w:rsidRPr="00BC0B96">
        <w:t xml:space="preserve"> </w:t>
      </w:r>
      <w:r w:rsidR="18949D95" w:rsidRPr="00BC0B96">
        <w:t>M</w:t>
      </w:r>
      <w:r w:rsidR="05DEE0DC" w:rsidRPr="00BC0B96">
        <w:t xml:space="preserve">ale California mice </w:t>
      </w:r>
      <w:r w:rsidR="18949D95" w:rsidRPr="00BC0B96">
        <w:t xml:space="preserve">are </w:t>
      </w:r>
      <w:r w:rsidR="05DEE0DC" w:rsidRPr="00BC0B96">
        <w:t>aggressi</w:t>
      </w:r>
      <w:r w:rsidR="18949D95" w:rsidRPr="00BC0B96">
        <w:t>ve</w:t>
      </w:r>
      <w:r w:rsidR="05DEE0DC" w:rsidRPr="00BC0B96">
        <w:t xml:space="preserve"> in novel</w:t>
      </w:r>
      <w:r w:rsidR="7109DCCF" w:rsidRPr="00BC0B96">
        <w:t xml:space="preserve"> environments </w:t>
      </w:r>
      <w:r w:rsidR="00D2037E" w:rsidRPr="00BC0B96">
        <w:fldChar w:fldCharType="begin"/>
      </w:r>
      <w:r w:rsidR="00D2037E" w:rsidRPr="00BC0B96">
        <w:instrText xml:space="preserve"> ADDIN ZOTERO_ITEM CSL_CITATION {"citationID":"L5YYOiZX","properties":{"formattedCitation":"(55)","plainCitation":"(55)","noteIndex":0},"citationItems":[{"id":5680,"uris":["http://zotero.org/users/5661202/items/J4V74D7T"],"itemData":{"id":5680,"type":"article-journal","container-title":"Horm Behav","page":"51-64","title":"Vasopressin and aggression in cross-fostered California mice (Peromyscus californicus) and white-footed mice (Peromyscus leucopus).","volume":"40","author":[{"family":"Bester-Meredith","given":"J K"},{"family":"Marler","given":"C A"}],"issued":{"date-parts":[["2001"]]}}}],"schema":"https://github.com/citation-style-language/schema/raw/master/csl-citation.json"} </w:instrText>
      </w:r>
      <w:r w:rsidR="00D2037E" w:rsidRPr="00BC0B96">
        <w:fldChar w:fldCharType="separate"/>
      </w:r>
      <w:r w:rsidR="4CF62419" w:rsidRPr="00BC0B96">
        <w:rPr>
          <w:rFonts w:ascii="Calibri" w:hAnsi="Calibri" w:cs="Calibri"/>
        </w:rPr>
        <w:t>(55)</w:t>
      </w:r>
      <w:r w:rsidR="00D2037E" w:rsidRPr="00BC0B96">
        <w:fldChar w:fldCharType="end"/>
      </w:r>
      <w:r w:rsidR="00231A81" w:rsidRPr="00BC0B96">
        <w:t>, and we found that pre-stress</w:t>
      </w:r>
      <w:r w:rsidR="00844084" w:rsidRPr="00BC0B96">
        <w:t xml:space="preserve">, </w:t>
      </w:r>
      <w:r w:rsidR="00BF6B1B" w:rsidRPr="00BC0B96">
        <w:t>a</w:t>
      </w:r>
      <w:r w:rsidR="00135317" w:rsidRPr="00BC0B96">
        <w:t xml:space="preserve">ggression </w:t>
      </w:r>
      <w:r w:rsidR="00850FE0" w:rsidRPr="00BC0B96">
        <w:t xml:space="preserve">was </w:t>
      </w:r>
      <w:r w:rsidR="00844084" w:rsidRPr="00BC0B96">
        <w:t>initiated</w:t>
      </w:r>
      <w:r w:rsidR="00135317" w:rsidRPr="00BC0B96">
        <w:t xml:space="preserve"> by f</w:t>
      </w:r>
      <w:r w:rsidR="67B12E7F" w:rsidRPr="00BC0B96">
        <w:t>ocal mice</w:t>
      </w:r>
      <w:r w:rsidR="00BF6B1B" w:rsidRPr="00BC0B96">
        <w:t xml:space="preserve"> (Fig. S4). Both </w:t>
      </w:r>
      <w:r w:rsidR="57A443A5" w:rsidRPr="00BC0B96">
        <w:t>aggression</w:t>
      </w:r>
      <w:r w:rsidR="00E9DE33" w:rsidRPr="00BC0B96">
        <w:t>-</w:t>
      </w:r>
      <w:r w:rsidR="234A9DD9" w:rsidRPr="00BC0B96">
        <w:t xml:space="preserve">naïve and </w:t>
      </w:r>
      <w:r w:rsidR="1BF17F3E" w:rsidRPr="00BC0B96">
        <w:t xml:space="preserve">experienced </w:t>
      </w:r>
      <w:r w:rsidR="234A9DD9" w:rsidRPr="00BC0B96">
        <w:t>aggressor</w:t>
      </w:r>
      <w:r w:rsidR="67B12E7F" w:rsidRPr="00BC0B96">
        <w:t xml:space="preserve"> target mice</w:t>
      </w:r>
      <w:r w:rsidR="00844084" w:rsidRPr="00BC0B96">
        <w:t xml:space="preserve"> </w:t>
      </w:r>
      <w:r w:rsidR="00BF6B1B" w:rsidRPr="00BC0B96">
        <w:t xml:space="preserve">responded by </w:t>
      </w:r>
      <w:r w:rsidR="00850FE0" w:rsidRPr="00BC0B96">
        <w:t>attack</w:t>
      </w:r>
      <w:r w:rsidR="00BF6B1B" w:rsidRPr="00BC0B96">
        <w:t>ing</w:t>
      </w:r>
      <w:r w:rsidR="00850FE0" w:rsidRPr="00BC0B96">
        <w:t xml:space="preserve"> focal mice </w:t>
      </w:r>
      <w:r w:rsidR="00844084" w:rsidRPr="00BC0B96">
        <w:t>(Fig. S4)</w:t>
      </w:r>
      <w:r w:rsidR="5589B329" w:rsidRPr="00BC0B96">
        <w:t xml:space="preserve">. </w:t>
      </w:r>
      <w:r w:rsidR="002D7ADC" w:rsidRPr="00BC0B96">
        <w:t>Although s</w:t>
      </w:r>
      <w:r w:rsidR="7FFCEB4B" w:rsidRPr="00BC0B96">
        <w:t xml:space="preserve">ocial defeat stress increased </w:t>
      </w:r>
      <w:r w:rsidR="252F60EC" w:rsidRPr="00BC0B96">
        <w:t xml:space="preserve">ΔF/F </w:t>
      </w:r>
      <w:r w:rsidR="423A61D6" w:rsidRPr="00BC0B96">
        <w:t xml:space="preserve">when </w:t>
      </w:r>
      <w:r w:rsidR="003928DA" w:rsidRPr="00BC0B96">
        <w:t xml:space="preserve">naïve </w:t>
      </w:r>
      <w:r w:rsidR="57A4F123" w:rsidRPr="00BC0B96">
        <w:t xml:space="preserve">target mice </w:t>
      </w:r>
      <w:r w:rsidR="423A61D6" w:rsidRPr="00BC0B96">
        <w:t xml:space="preserve">were in the </w:t>
      </w:r>
      <w:r w:rsidR="1E697F24" w:rsidRPr="00BC0B96">
        <w:t xml:space="preserve">center of the visual field and within 8 cm </w:t>
      </w:r>
      <w:r w:rsidR="57A4F123" w:rsidRPr="00BC0B96">
        <w:t xml:space="preserve">(Fig. 4B, </w:t>
      </w:r>
      <w:r w:rsidR="57A4F123" w:rsidRPr="00BC0B96">
        <w:rPr>
          <w:rFonts w:ascii="Symbol" w:hAnsi="Symbol"/>
        </w:rPr>
        <w:t>b</w:t>
      </w:r>
      <w:r w:rsidR="57A4F123" w:rsidRPr="00BC0B96">
        <w:t>=0.</w:t>
      </w:r>
      <w:r w:rsidR="08AF07BB" w:rsidRPr="00BC0B96">
        <w:t>73</w:t>
      </w:r>
      <w:r w:rsidR="57A4F123" w:rsidRPr="00BC0B96">
        <w:t>, z=5.33, p&lt;0.001)</w:t>
      </w:r>
      <w:r w:rsidR="002D7ADC" w:rsidRPr="00BC0B96">
        <w:t xml:space="preserve">, other analyses suggested </w:t>
      </w:r>
      <w:r w:rsidR="00602114" w:rsidRPr="00BC0B96">
        <w:t xml:space="preserve">that effects of stress </w:t>
      </w:r>
      <w:r w:rsidR="00E936A1" w:rsidRPr="00BC0B96">
        <w:t xml:space="preserve">were less robust. </w:t>
      </w:r>
      <w:r w:rsidR="00BD6BA2" w:rsidRPr="00BC0B96">
        <w:t>Pre-stress, there was no increase in ΔF/F whe</w:t>
      </w:r>
      <w:r w:rsidR="10A905C6" w:rsidRPr="00BC0B96">
        <w:t xml:space="preserve">n </w:t>
      </w:r>
      <w:r w:rsidR="2A7429DB" w:rsidRPr="00BC0B96">
        <w:t xml:space="preserve">focal mice </w:t>
      </w:r>
      <w:r w:rsidR="67878376" w:rsidRPr="00BC0B96">
        <w:t xml:space="preserve">were attacked by </w:t>
      </w:r>
      <w:r w:rsidR="7FFCEB4B" w:rsidRPr="00BC0B96">
        <w:t>na</w:t>
      </w:r>
      <w:r w:rsidR="34A5D568" w:rsidRPr="00BC0B96">
        <w:t>i</w:t>
      </w:r>
      <w:r w:rsidR="7FFCEB4B" w:rsidRPr="00BC0B96">
        <w:t xml:space="preserve">ve </w:t>
      </w:r>
      <w:r w:rsidR="2A7429DB" w:rsidRPr="00BC0B96">
        <w:t xml:space="preserve">target </w:t>
      </w:r>
      <w:r w:rsidR="2A7429DB" w:rsidRPr="00BC0B96">
        <w:lastRenderedPageBreak/>
        <w:t>mice</w:t>
      </w:r>
      <w:r w:rsidR="00D15849" w:rsidRPr="00BC0B96">
        <w:t>. Post-stress, attacks by naïve target mice induced an</w:t>
      </w:r>
      <w:r w:rsidR="003A58D8" w:rsidRPr="00BC0B96">
        <w:t xml:space="preserve"> acute increase in</w:t>
      </w:r>
      <w:r w:rsidR="00D15849" w:rsidRPr="00BC0B96">
        <w:t xml:space="preserve"> </w:t>
      </w:r>
      <w:r w:rsidR="4E3A711B" w:rsidRPr="00BC0B96">
        <w:t xml:space="preserve">ΔF/F </w:t>
      </w:r>
      <w:bookmarkStart w:id="4" w:name="OLE_LINK2"/>
      <w:r w:rsidR="4E3A711B" w:rsidRPr="00BC0B96">
        <w:t xml:space="preserve">(Fig. 4c, </w:t>
      </w:r>
      <w:r w:rsidR="4E3A711B" w:rsidRPr="00BC0B96">
        <w:rPr>
          <w:rFonts w:ascii="Symbol" w:hAnsi="Symbol"/>
        </w:rPr>
        <w:t>b</w:t>
      </w:r>
      <w:r w:rsidR="4E3A711B" w:rsidRPr="00BC0B96">
        <w:t>=2.81, p=0.045)</w:t>
      </w:r>
      <w:bookmarkEnd w:id="4"/>
      <w:r w:rsidR="4E3A711B" w:rsidRPr="00BC0B96">
        <w:t xml:space="preserve"> </w:t>
      </w:r>
      <w:r w:rsidR="0581E6D6" w:rsidRPr="00BC0B96">
        <w:t xml:space="preserve">with no </w:t>
      </w:r>
      <w:r w:rsidR="00266DF7" w:rsidRPr="00BC0B96">
        <w:t xml:space="preserve">change </w:t>
      </w:r>
      <w:r w:rsidR="0581E6D6" w:rsidRPr="00BC0B96">
        <w:t xml:space="preserve">in activity </w:t>
      </w:r>
      <w:r w:rsidR="00266DF7" w:rsidRPr="00BC0B96">
        <w:t xml:space="preserve">during </w:t>
      </w:r>
      <w:r w:rsidR="0581E6D6" w:rsidRPr="00BC0B96">
        <w:t>the</w:t>
      </w:r>
      <w:r w:rsidR="4E3A711B" w:rsidRPr="00BC0B96">
        <w:t xml:space="preserve"> </w:t>
      </w:r>
      <w:r w:rsidR="7A1A8878" w:rsidRPr="00BC0B96">
        <w:t xml:space="preserve">delayed </w:t>
      </w:r>
      <w:r w:rsidR="20B00B51" w:rsidRPr="00BC0B96">
        <w:t>(3-6 sec) period</w:t>
      </w:r>
      <w:r w:rsidR="61E2488B" w:rsidRPr="00BC0B96">
        <w:t xml:space="preserve">. </w:t>
      </w:r>
      <w:r w:rsidR="006E655F" w:rsidRPr="00BC0B96">
        <w:t xml:space="preserve">More robust increases in ΔF/F were observed when </w:t>
      </w:r>
      <w:r w:rsidR="389756B2" w:rsidRPr="00BC0B96">
        <w:t xml:space="preserve">focal mice received aggression from </w:t>
      </w:r>
      <w:r w:rsidR="0D47C006" w:rsidRPr="00BC0B96">
        <w:t>experienced aggressors</w:t>
      </w:r>
      <w:r w:rsidR="006E655F" w:rsidRPr="00BC0B96">
        <w:t>. P</w:t>
      </w:r>
      <w:r w:rsidR="56B52645" w:rsidRPr="00BC0B96">
        <w:t>re- and post-stress mice</w:t>
      </w:r>
      <w:r w:rsidR="205FAC39" w:rsidRPr="00BC0B96">
        <w:t xml:space="preserve"> </w:t>
      </w:r>
      <w:r w:rsidR="5C76F70B" w:rsidRPr="00BC0B96">
        <w:t>exhibit</w:t>
      </w:r>
      <w:r w:rsidR="006E655F" w:rsidRPr="00BC0B96">
        <w:t>ed</w:t>
      </w:r>
      <w:r w:rsidR="5C76F70B" w:rsidRPr="00BC0B96">
        <w:t xml:space="preserve"> </w:t>
      </w:r>
      <w:r w:rsidR="16FF8FAE" w:rsidRPr="00BC0B96">
        <w:t xml:space="preserve">acute (Fig. 4c, </w:t>
      </w:r>
      <w:r w:rsidR="16FF8FAE" w:rsidRPr="00BC0B96">
        <w:rPr>
          <w:rFonts w:ascii="Symbol" w:hAnsi="Symbol"/>
        </w:rPr>
        <w:t>b</w:t>
      </w:r>
      <w:r w:rsidR="16FF8FAE" w:rsidRPr="00BC0B96">
        <w:t>=</w:t>
      </w:r>
      <w:r w:rsidR="14683EB9" w:rsidRPr="00BC0B96">
        <w:t>9.6</w:t>
      </w:r>
      <w:r w:rsidR="6964908B" w:rsidRPr="00BC0B96">
        <w:t>3</w:t>
      </w:r>
      <w:r w:rsidR="16FF8FAE" w:rsidRPr="00BC0B96">
        <w:t>,</w:t>
      </w:r>
      <w:r w:rsidR="6964908B" w:rsidRPr="00BC0B96">
        <w:t xml:space="preserve"> z</w:t>
      </w:r>
      <w:r w:rsidR="4501A8AE" w:rsidRPr="00BC0B96">
        <w:t>=3.89,</w:t>
      </w:r>
      <w:r w:rsidR="16FF8FAE" w:rsidRPr="00BC0B96">
        <w:t xml:space="preserve"> p</w:t>
      </w:r>
      <w:r w:rsidR="4501A8AE" w:rsidRPr="00BC0B96">
        <w:t>&lt;</w:t>
      </w:r>
      <w:r w:rsidR="16FF8FAE" w:rsidRPr="00BC0B96">
        <w:t>0.0</w:t>
      </w:r>
      <w:r w:rsidR="4501A8AE" w:rsidRPr="00BC0B96">
        <w:t>01</w:t>
      </w:r>
      <w:r w:rsidR="16FF8FAE" w:rsidRPr="00BC0B96">
        <w:t xml:space="preserve">) and delayed (Fig. 4c, </w:t>
      </w:r>
      <w:r w:rsidR="16FF8FAE" w:rsidRPr="00BC0B96">
        <w:rPr>
          <w:rFonts w:ascii="Symbol" w:hAnsi="Symbol"/>
        </w:rPr>
        <w:t>b</w:t>
      </w:r>
      <w:r w:rsidR="16FF8FAE" w:rsidRPr="00BC0B96">
        <w:t>=</w:t>
      </w:r>
      <w:r w:rsidR="4501A8AE" w:rsidRPr="00BC0B96">
        <w:t>9.16</w:t>
      </w:r>
      <w:r w:rsidR="16FF8FAE" w:rsidRPr="00BC0B96">
        <w:t>,</w:t>
      </w:r>
      <w:r w:rsidR="4501A8AE" w:rsidRPr="00BC0B96">
        <w:t xml:space="preserve"> z=</w:t>
      </w:r>
      <w:r w:rsidR="20A69523" w:rsidRPr="00BC0B96">
        <w:t>3</w:t>
      </w:r>
      <w:r w:rsidR="4501A8AE" w:rsidRPr="00BC0B96">
        <w:t>.</w:t>
      </w:r>
      <w:r w:rsidR="20A69523" w:rsidRPr="00BC0B96">
        <w:t>70</w:t>
      </w:r>
      <w:r w:rsidR="16FF8FAE" w:rsidRPr="00BC0B96">
        <w:t xml:space="preserve"> p</w:t>
      </w:r>
      <w:r w:rsidR="20A69523" w:rsidRPr="00BC0B96">
        <w:t>&lt;</w:t>
      </w:r>
      <w:r w:rsidR="16FF8FAE" w:rsidRPr="00BC0B96">
        <w:t>0.0</w:t>
      </w:r>
      <w:r w:rsidR="20A69523" w:rsidRPr="00BC0B96">
        <w:t>01</w:t>
      </w:r>
      <w:r w:rsidR="16FF8FAE" w:rsidRPr="00BC0B96">
        <w:t>) increases in ΔF/F</w:t>
      </w:r>
      <w:r w:rsidR="001D29E3" w:rsidRPr="00BC0B96">
        <w:t xml:space="preserve"> after attacks by experienced aggressors</w:t>
      </w:r>
      <w:r w:rsidR="16FF8FAE" w:rsidRPr="00BC0B96">
        <w:t>.</w:t>
      </w:r>
      <w:r w:rsidR="00FC124B" w:rsidRPr="00BC0B96">
        <w:t xml:space="preserve"> </w:t>
      </w:r>
      <w:r w:rsidR="004E45FC" w:rsidRPr="00BC0B96">
        <w:t>T</w:t>
      </w:r>
      <w:r w:rsidR="0091447D" w:rsidRPr="00BC0B96">
        <w:t>here were no changes in ΔF/F during bouts of freezing (Fig</w:t>
      </w:r>
      <w:r w:rsidR="00974D18" w:rsidRPr="00BC0B96">
        <w:t>.</w:t>
      </w:r>
      <w:r w:rsidR="0091447D" w:rsidRPr="00BC0B96">
        <w:t xml:space="preserve"> 4D) and </w:t>
      </w:r>
      <w:r w:rsidR="004A077D" w:rsidRPr="00BC0B96">
        <w:t xml:space="preserve">no </w:t>
      </w:r>
      <w:r w:rsidR="0091447D" w:rsidRPr="00BC0B96">
        <w:t xml:space="preserve">changes </w:t>
      </w:r>
      <w:r w:rsidR="004A077D" w:rsidRPr="00BC0B96">
        <w:t>in ΔF/F when</w:t>
      </w:r>
      <w:r w:rsidR="006D587D" w:rsidRPr="00BC0B96">
        <w:t xml:space="preserve"> pre-stress </w:t>
      </w:r>
      <w:r w:rsidR="002A247A" w:rsidRPr="00BC0B96">
        <w:t>focal mice engaged in anogenital sniffing with naïve target mice (Fig. S5)</w:t>
      </w:r>
      <w:r w:rsidR="0091447D" w:rsidRPr="00BC0B96">
        <w:t>.</w:t>
      </w:r>
      <w:r w:rsidR="00C717FB" w:rsidRPr="00BC0B96">
        <w:t xml:space="preserve"> </w:t>
      </w:r>
      <w:r w:rsidR="000A1A24" w:rsidRPr="00BC0B96">
        <w:t xml:space="preserve">In this study, stress </w:t>
      </w:r>
      <w:r w:rsidR="002644DB" w:rsidRPr="00BC0B96">
        <w:t>in</w:t>
      </w:r>
      <w:r w:rsidR="00C46C9D" w:rsidRPr="00BC0B96">
        <w:t xml:space="preserve">duced acute increases in </w:t>
      </w:r>
      <w:r w:rsidR="0032156B" w:rsidRPr="00BC0B96">
        <w:t xml:space="preserve">ΔF/F </w:t>
      </w:r>
      <w:r w:rsidR="004F2360" w:rsidRPr="00BC0B96">
        <w:t>after attacks by naïve target mice</w:t>
      </w:r>
      <w:r w:rsidR="006A1580" w:rsidRPr="00BC0B96">
        <w:t xml:space="preserve">, </w:t>
      </w:r>
      <w:r w:rsidR="00974C73" w:rsidRPr="00BC0B96">
        <w:t xml:space="preserve">but </w:t>
      </w:r>
      <w:r w:rsidR="006A1580" w:rsidRPr="00BC0B96">
        <w:t>attacks by experienced aggressors</w:t>
      </w:r>
      <w:r w:rsidR="00081153" w:rsidRPr="00BC0B96">
        <w:t xml:space="preserve"> induced </w:t>
      </w:r>
      <w:r w:rsidR="0995F1CC" w:rsidRPr="00BC0B96">
        <w:t>both</w:t>
      </w:r>
      <w:r w:rsidR="00081153" w:rsidRPr="00BC0B96">
        <w:t xml:space="preserve"> acute and delayed increased in ΔF/F. Importantly, </w:t>
      </w:r>
      <w:r w:rsidR="00D34AAA" w:rsidRPr="00BC0B96">
        <w:t>increased ΔF/F induce</w:t>
      </w:r>
      <w:r w:rsidR="00934089" w:rsidRPr="00BC0B96">
        <w:t>s</w:t>
      </w:r>
      <w:r w:rsidR="00D34AAA" w:rsidRPr="00BC0B96">
        <w:t xml:space="preserve"> by aggressors were not</w:t>
      </w:r>
      <w:r w:rsidR="00081153" w:rsidRPr="00BC0B96">
        <w:t xml:space="preserve"> stress</w:t>
      </w:r>
      <w:r w:rsidR="0085377D" w:rsidRPr="00BC0B96">
        <w:t xml:space="preserve"> </w:t>
      </w:r>
      <w:r w:rsidR="00081153" w:rsidRPr="00BC0B96">
        <w:t>dependent.</w:t>
      </w:r>
      <w:r w:rsidR="00D95356" w:rsidRPr="00BC0B96">
        <w:t xml:space="preserve"> </w:t>
      </w:r>
      <w:r w:rsidR="25817FC1" w:rsidRPr="00BC0B96">
        <w:t>To assess the extent to which prepubertal castration impacted neuronal activity in other circuits modulating social approach, we used c-fos immunohistochemistry.</w:t>
      </w:r>
    </w:p>
    <w:p w14:paraId="7578C48B" w14:textId="0BF2F931" w:rsidR="2E0E251D" w:rsidRPr="00BC0B96" w:rsidRDefault="2E0E251D" w:rsidP="2E0E251D">
      <w:pPr>
        <w:spacing w:line="360" w:lineRule="auto"/>
        <w:rPr>
          <w:b/>
        </w:rPr>
      </w:pPr>
    </w:p>
    <w:p w14:paraId="1A5348DE" w14:textId="4DB16F22" w:rsidR="00F3296C" w:rsidRPr="00BC0B96" w:rsidRDefault="00F3296C">
      <w:pPr>
        <w:spacing w:line="360" w:lineRule="auto"/>
      </w:pPr>
      <w:r w:rsidRPr="71BA0E7D">
        <w:rPr>
          <w:b/>
          <w:bCs/>
        </w:rPr>
        <w:t>Gonadal Hormones Reduce Neural Activity in PVN Oxytocin Neurons</w:t>
      </w:r>
      <w:r>
        <w:t xml:space="preserve">: Social defeat stress </w:t>
      </w:r>
      <w:r w:rsidR="00414F4B">
        <w:t xml:space="preserve">increases </w:t>
      </w:r>
      <w:r w:rsidR="00CA3B44">
        <w:t xml:space="preserve">c-fos expression </w:t>
      </w:r>
      <w:r w:rsidR="00343CB9">
        <w:t xml:space="preserve">in </w:t>
      </w:r>
      <w:r>
        <w:t xml:space="preserve"> oxytocin neurons in </w:t>
      </w:r>
      <w:r w:rsidR="00414F4B">
        <w:t xml:space="preserve">the </w:t>
      </w:r>
      <w:r>
        <w:t xml:space="preserve">PVN </w:t>
      </w:r>
      <w:r>
        <w:fldChar w:fldCharType="begin"/>
      </w:r>
      <w:r>
        <w:instrText xml:space="preserve"> ADDIN ZOTERO_ITEM CSL_CITATION {"citationID":"JBrngesY","properties":{"formattedCitation":"(37)","plainCitation":"(37)","noteIndex":0},"citationItems":[{"id":7019,"uris":["http://zotero.org/users/5661202/items/9TRSGP8G"],"itemData":{"id":7019,"type":"article-journal","abstract":"Background\nOxytocin (OT) is considered to be a stress-buffering hormone, dampening the physiologic effects of stress. However, OT can also be anxiogenic. We examined acute and long-lasting effects of social defeat on OT neurons in male and female California mice.\nMethods\nWe used immunohistochemistry for OT and c-fos cells to examine OT neuron activity immediately after defeat (n = 6–9) and 2 weeks (n = 6–9) and 10 weeks (n = 4–5) later. We quantified Oxt messenger RNA with quantitative polymerase chain reaction (n = 5–9). Intranasal OT was administered to naïve and stressed mice tested in social interaction and resident-intruder tests (n = 8–14).\nResults\nAcute exposure to a third episode of defeat increased OT/c-fos colocalizations in the paraventricular nucleus of both sexes. In the medioventral bed nucleus of the stria terminalis, defeat increased Oxt messenger RNA, total OT neurons, and OT/c-fos colocalizations in female mice but not male mice. Intranasal OT failed to reverse stress-induced social withdrawal in female mice and reduced social interaction behavior in female mice naïve to defeat. In contrast, intranasal OT increased social interaction in stressed male mice and reduced freezing in the resident-intruder test.\nConclusions\nSocial defeat induces long-lasting increases in OT production and OT/c-fos cells in the medioventral bed nucleus of the stria terminalis of female mice but not male mice. Intranasal OT largely reversed the effects of stress on behavior in male mice, but effects were mixed in female mice. These results suggest that changes in OT-sensitive networks contribute to sex differences in behavioral responses to stress.","collection-title":"Corticotropin-Releasing Factor, FKBP5, and Posttraumatic Stress Disorder","container-title":"Biological Psychiatry","DOI":"10.1016/j.biopsych.2015.10.007","ISSN":"0006-3223","issue":"5","journalAbbreviation":"Biological Psychiatry","page":"406-414","source":"ScienceDirect","title":"Sex-Specific Effects of Stress on Oxytocin Neurons Correspond With Responses to Intranasal Oxytocin","volume":"80","author":[{"family":"Steinman","given":"Michael Q."},{"family":"Duque-Wilckens","given":"Natalia"},{"family":"Greenberg","given":"Gian D."},{"family":"Hao","given":"Rebecca"},{"family":"Campi","given":"Katharine L."},{"family":"Laredo","given":"Sarah A."},{"family":"Laman-Maharg","given":"Abigail"},{"family":"Manning","given":"Claire E."},{"family":"Doig","given":"Ian E."},{"family":"Lopez","given":"Eduardo M."},{"family":"Walch","given":"Keenan"},{"family":"Bales","given":"Karen L."},{"family":"Trainor","given":"Brian C."}],"issued":{"date-parts":[["2016",9,1]]}}}],"schema":"https://github.com/citation-style-language/schema/raw/master/csl-citation.json"} </w:instrText>
      </w:r>
      <w:r>
        <w:fldChar w:fldCharType="separate"/>
      </w:r>
      <w:r w:rsidR="00563A6D" w:rsidRPr="71BA0E7D">
        <w:rPr>
          <w:rFonts w:ascii="Calibri" w:hAnsi="Calibri" w:cs="Calibri"/>
          <w:sz w:val="24"/>
          <w:szCs w:val="24"/>
        </w:rPr>
        <w:t>(37)</w:t>
      </w:r>
      <w:r>
        <w:fldChar w:fldCharType="end"/>
      </w:r>
      <w:r>
        <w:t xml:space="preserve">, a response that has been associated with heightened </w:t>
      </w:r>
      <w:r w:rsidR="43C26618" w:rsidRPr="00156D05">
        <w:t>immediate early gene expression</w:t>
      </w:r>
      <w:r>
        <w:t xml:space="preserve"> in the anteromedial BNST </w:t>
      </w:r>
      <w:r>
        <w:fldChar w:fldCharType="begin"/>
      </w:r>
      <w:r>
        <w:instrText xml:space="preserve"> ADDIN ZOTERO_ITEM CSL_CITATION {"citationID":"NKQrQvOw","properties":{"formattedCitation":"(51)","plainCitation":"(51)","noteIndex":0},"citationItems":[{"id":7020,"uris":["http://zotero.org/users/5661202/items/EEB8VFAW"],"itemData":{"id":7020,"type":"article-journal","abstract":"BACKGROUND: The neuropeptide oxytocin (OT) is a key regulator of social and emotional behaviors. The effects of OT are context dependent, and it has been proposed that OT increases the salience of both positive and negative social cues. Here we tested whether the bed nucleus of the stria terminalis (BNST) mediates anxiogenic effects of OT.\nMETHODS: First, we studied the effects of systemic administration of an OT receptor (OTR) antagonist L-368,899 on social behavior in male and female California mice exposed to social defeat. We examined the effect of L-368,899 on G protein activation and used early growth response factor 1 immunohistochemistry to identify potential sites of OTR action. Finally, we examined the effects of L-368,899 infused in the BNST on behavior.\nRESULTS: A single dose of systemic L-368,899 increased social approach in stressed female mice and decreased social approach in male mice naïve to defeat. L-368,899 prevented OT activation of G proteins and did not activate G proteins in the absence of OT. Intranasal OT, which reduces social approach in female mice but not male mice, increased early growth response factor 1 immunoreactivity in the nucleus accumbens core and anteromedial BNST in female mice but not in male mice. Stressed female mice that received an infusion of L-368,899 into the anteromedial BNST but not the nucleus accumbens core increased social approach and decreased social vigilance responses.\nCONCLUSIONS: Our results suggest that OTR activation in anteromedial BNST induces a vigilance response in which individuals avoid, yet attend to, unfamiliar social contexts. Our results suggest that OTR antagonists may have unappreciated therapeutic potential for stress-induced psychiatric disorders.","container-title":"Biological Psychiatry","DOI":"10.1016/j.biopsych.2017.08.024","ISSN":"1873-2402","issue":"3","journalAbbreviation":"Biol. Psychiatry","language":"eng","note":"PMID: 29066224\nPMCID: PMC5743604","page":"203-213","source":"PubMed","title":"Oxytocin Receptors in the Anteromedial Bed Nucleus of the Stria Terminalis Promote Stress-Induced Social Avoidance in Female California Mice","volume":"83","author":[{"family":"Duque-Wilckens","given":"Natalia"},{"family":"Steinman","given":"Michael Q."},{"family":"Busnelli","given":"Marta"},{"family":"Chini","given":"Bice"},{"family":"Yokoyama","given":"Sae"},{"family":"Pham","given":"Mary"},{"family":"Laredo","given":"Sarah A."},{"family":"Hao","given":"Rebecca"},{"family":"Perkeybile","given":"Allison M."},{"family":"Minie","given":"Vanessa A."},{"family":"Tan","given":"Phillip B."},{"family":"Bales","given":"Karen L."},{"family":"Trainor","given":"Brian C."}],"issued":{"date-parts":[["2018",2,1]]}}}],"schema":"https://github.com/citation-style-language/schema/raw/master/csl-citation.json"} </w:instrText>
      </w:r>
      <w:r>
        <w:fldChar w:fldCharType="separate"/>
      </w:r>
      <w:r w:rsidR="00563A6D" w:rsidRPr="71BA0E7D">
        <w:rPr>
          <w:rFonts w:ascii="Calibri" w:hAnsi="Calibri" w:cs="Calibri"/>
          <w:sz w:val="24"/>
          <w:szCs w:val="24"/>
        </w:rPr>
        <w:t>(51)</w:t>
      </w:r>
      <w:r>
        <w:fldChar w:fldCharType="end"/>
      </w:r>
      <w:r>
        <w:t xml:space="preserve">. We used oxytocin/c-fos immunohistochemistry (Fig. </w:t>
      </w:r>
      <w:r w:rsidR="008512C1">
        <w:t>5</w:t>
      </w:r>
      <w:r>
        <w:t xml:space="preserve">A,B) to examine anterior and posterior PVN, which differ in connectivity </w:t>
      </w:r>
      <w:r>
        <w:fldChar w:fldCharType="begin"/>
      </w:r>
      <w:r>
        <w:instrText xml:space="preserve"> ADDIN ZOTERO_ITEM CSL_CITATION {"citationID":"yi1c5pPI","properties":{"formattedCitation":"(56)","plainCitation":"(56)","noteIndex":0},"citationItems":[{"id":9603,"uris":["http://zotero.org/users/5661202/items/S8KJLZBD"],"itemData":{"id":9603,"type":"article-journal","container-title":"Neuron","DOI":"10.1016/j.neuron.2020.10.002","ISSN":"08966273","issue":"4","journalAbbreviation":"Neuron","language":"en","page":"659-675.e6","source":"DOI.org (Crossref)","title":"Parallel Social Information Processing Circuits Are Differentially Impacted in Autism","volume":"108","author":[{"family":"Lewis","given":"Eastman M."},{"family":"Stein-O’Brien","given":"Genevieve L."},{"family":"Patino","given":"Alejandra V."},{"family":"Nardou","given":"Romain"},{"family":"Grossman","given":"Cooper D."},{"family":"Brown","given":"Matthew"},{"family":"Bangamwabo","given":"Bidii"},{"family":"Ndiaye","given":"Ndeye"},{"family":"Giovinazzo","given":"Daniel"},{"family":"Dardani","given":"Ian"},{"family":"Jiang","given":"Connie"},{"family":"Goff","given":"Loyal A."},{"family":"Dölen","given":"Gül"}],"issued":{"date-parts":[["2020",11]]}}}],"schema":"https://github.com/citation-style-language/schema/raw/master/csl-citation.json"} </w:instrText>
      </w:r>
      <w:r>
        <w:fldChar w:fldCharType="separate"/>
      </w:r>
      <w:r w:rsidR="00C956A6" w:rsidRPr="71BA0E7D">
        <w:rPr>
          <w:rFonts w:ascii="Calibri" w:hAnsi="Calibri" w:cs="Calibri"/>
          <w:sz w:val="24"/>
          <w:szCs w:val="24"/>
        </w:rPr>
        <w:t>(56)</w:t>
      </w:r>
      <w:r>
        <w:fldChar w:fldCharType="end"/>
      </w:r>
      <w:r>
        <w:t xml:space="preserve"> and stress sensitivity </w:t>
      </w:r>
      <w:r>
        <w:fldChar w:fldCharType="begin"/>
      </w:r>
      <w:r>
        <w:instrText xml:space="preserve"> ADDIN ZOTERO_ITEM CSL_CITATION {"citationID":"XUWBvDNh","properties":{"formattedCitation":"(37)","plainCitation":"(37)","noteIndex":0},"citationItems":[{"id":7019,"uris":["http://zotero.org/users/5661202/items/9TRSGP8G"],"itemData":{"id":7019,"type":"article-journal","abstract":"Background\nOxytocin (OT) is considered to be a stress-buffering hormone, dampening the physiologic effects of stress. However, OT can also be anxiogenic. We examined acute and long-lasting effects of social defeat on OT neurons in male and female California mice.\nMethods\nWe used immunohistochemistry for OT and c-fos cells to examine OT neuron activity immediately after defeat (n = 6–9) and 2 weeks (n = 6–9) and 10 weeks (n = 4–5) later. We quantified Oxt messenger RNA with quantitative polymerase chain reaction (n = 5–9). Intranasal OT was administered to naïve and stressed mice tested in social interaction and resident-intruder tests (n = 8–14).\nResults\nAcute exposure to a third episode of defeat increased OT/c-fos colocalizations in the paraventricular nucleus of both sexes. In the medioventral bed nucleus of the stria terminalis, defeat increased Oxt messenger RNA, total OT neurons, and OT/c-fos colocalizations in female mice but not male mice. Intranasal OT failed to reverse stress-induced social withdrawal in female mice and reduced social interaction behavior in female mice naïve to defeat. In contrast, intranasal OT increased social interaction in stressed male mice and reduced freezing in the resident-intruder test.\nConclusions\nSocial defeat induces long-lasting increases in OT production and OT/c-fos cells in the medioventral bed nucleus of the stria terminalis of female mice but not male mice. Intranasal OT largely reversed the effects of stress on behavior in male mice, but effects were mixed in female mice. These results suggest that changes in OT-sensitive networks contribute to sex differences in behavioral responses to stress.","collection-title":"Corticotropin-Releasing Factor, FKBP5, and Posttraumatic Stress Disorder","container-title":"Biological Psychiatry","DOI":"10.1016/j.biopsych.2015.10.007","ISSN":"0006-3223","issue":"5","journalAbbreviation":"Biological Psychiatry","page":"406-414","source":"ScienceDirect","title":"Sex-Specific Effects of Stress on Oxytocin Neurons Correspond With Responses to Intranasal Oxytocin","volume":"80","author":[{"family":"Steinman","given":"Michael Q."},{"family":"Duque-Wilckens","given":"Natalia"},{"family":"Greenberg","given":"Gian D."},{"family":"Hao","given":"Rebecca"},{"family":"Campi","given":"Katharine L."},{"family":"Laredo","given":"Sarah A."},{"family":"Laman-Maharg","given":"Abigail"},{"family":"Manning","given":"Claire E."},{"family":"Doig","given":"Ian E."},{"family":"Lopez","given":"Eduardo M."},{"family":"Walch","given":"Keenan"},{"family":"Bales","given":"Karen L."},{"family":"Trainor","given":"Brian C."}],"issued":{"date-parts":[["2016",9,1]]}}}],"schema":"https://github.com/citation-style-language/schema/raw/master/csl-citation.json"} </w:instrText>
      </w:r>
      <w:r>
        <w:fldChar w:fldCharType="separate"/>
      </w:r>
      <w:r w:rsidR="00563A6D" w:rsidRPr="71BA0E7D">
        <w:rPr>
          <w:rFonts w:ascii="Calibri" w:hAnsi="Calibri" w:cs="Calibri"/>
          <w:sz w:val="24"/>
          <w:szCs w:val="24"/>
        </w:rPr>
        <w:t>(37)</w:t>
      </w:r>
      <w:r>
        <w:fldChar w:fldCharType="end"/>
      </w:r>
      <w:r>
        <w:t xml:space="preserve">. In anterior PVN, prepubertal castration increased oxytocin/c-fos colocalizations when compared to sham (Fig. </w:t>
      </w:r>
      <w:r w:rsidR="008512C1">
        <w:t>5</w:t>
      </w:r>
      <w:r>
        <w:t xml:space="preserve">C’, Mann-Whitney U=38, p=0.01) mice that had undergone social defeat. Oxytocin/c-fos colocalizations were negatively correlated with social approach (Fig. </w:t>
      </w:r>
      <w:r w:rsidR="008512C1">
        <w:t>5</w:t>
      </w:r>
      <w:r>
        <w:t xml:space="preserve">C”, Spearman </w:t>
      </w:r>
      <w:r w:rsidRPr="71BA0E7D">
        <w:rPr>
          <w:rFonts w:ascii="Symbol" w:hAnsi="Symbol"/>
        </w:rPr>
        <w:t>r</w:t>
      </w:r>
      <w:r>
        <w:t>=-0.55, p&lt;0.01) and positively correlated with social vigilance (Fig. S</w:t>
      </w:r>
      <w:r w:rsidR="00512F87">
        <w:t>6</w:t>
      </w:r>
      <w:r>
        <w:t xml:space="preserve">A, </w:t>
      </w:r>
      <w:r w:rsidRPr="71BA0E7D">
        <w:rPr>
          <w:rFonts w:ascii="Symbol" w:hAnsi="Symbol"/>
        </w:rPr>
        <w:t>r</w:t>
      </w:r>
      <w:r>
        <w:t xml:space="preserve">=0.59, p&lt;0.01). In the posterior PVN castration increased oxytocin/c-fos colocalizations regardless of stress status (Fig. </w:t>
      </w:r>
      <w:r w:rsidR="008512C1">
        <w:t>5</w:t>
      </w:r>
      <w:r>
        <w:t>D’, Mann-Whitney U=113.5, p=0.04) and oxytocin/c-fos colocalizations w</w:t>
      </w:r>
      <w:r w:rsidR="00974965">
        <w:t>ere</w:t>
      </w:r>
      <w:r>
        <w:t xml:space="preserve"> negatively correlated with social approach (Fig. </w:t>
      </w:r>
      <w:r w:rsidR="008512C1">
        <w:t>5</w:t>
      </w:r>
      <w:r>
        <w:t xml:space="preserve">D”, </w:t>
      </w:r>
      <w:r w:rsidRPr="71BA0E7D">
        <w:rPr>
          <w:rFonts w:ascii="Symbol" w:hAnsi="Symbol"/>
        </w:rPr>
        <w:t>r</w:t>
      </w:r>
      <w:r>
        <w:t>=-0.41, p=0.04) but not social vigilance (Fig. S</w:t>
      </w:r>
      <w:r w:rsidR="00512F87">
        <w:t>6</w:t>
      </w:r>
      <w:r>
        <w:t xml:space="preserve">B). We also examined the effects of prepubertal castration on c-fos in the anteromedial BNST, where oxytocin induces social avoidance and social vigilance </w:t>
      </w:r>
      <w:r>
        <w:fldChar w:fldCharType="begin"/>
      </w:r>
      <w:r>
        <w:instrText xml:space="preserve"> ADDIN ZOTERO_ITEM CSL_CITATION {"citationID":"6K4M3Vhf","properties":{"formattedCitation":"(41)","plainCitation":"(41)","noteIndex":0},"citationItems":[{"id":8940,"uris":["http://zotero.org/users/5661202/items/XIXPV4QQ"],"itemData":{"id":8940,"type":"article-journal","abstract":"Oxytocin is a neuropeptide that can produce anxiolytic effects and promote social approach. However, emerging evidence shows that under some conditions, oxytocin can instead induce anxiety-related behaviors. These diverse effects of oxytocin appear to be mediated by circuit-specific actions. Recent data showed that inhibition of oxytocin receptors (OTRs) in the bed nucleus of the stria terminalis (BNST) was sufficient to increase social approach and decrease social vigilance in female California mice (Peromyscus californicus) exposed to social defeat stress. As a member of the G-protein coupled receptor family, OTRs can induce distinct downstream pathways by coupling to different G-protein isoforms. We show that infusion of carbetocin, a biased OTR-Gq agonist, in the BNST reduced social approach in both female and male California mice. In both females and males, carbetocin also increased social vigilance. To gain insight into cell types that could be mediating this effect, we analyzed previously published single-cell RNAseq data from the BNST and nucleus accumbens (NAc). In the NAc, we and others showed that OTR activation promotes social approach behaviors. In the BNST, Oxtr was expressed in over 40 cell types, that span both posterior and anterior subregions of the BNST. The majority of Oxtr-expressing neurons were GABAergic. In the anterior regions of BNST targeted in our carbetocin experiments, Cyp26b1-expressing neurons had high average Oxtr expression. In the NAc, most Oxtr+ cells were D1 dopamine receptor-expressing neurons and interneurons. These differences in Oxtr cell type distribution may help explain how activation of OTR in BNST versus NAc can have different effects on social approach and social vigilance.","container-title":"Hormones and Behavior","DOI":"10.1016/j.yhbeh.2022.105203","ISSN":"0018-506X","journalAbbreviation":"Hormones and Behavior","language":"en","page":"105203","source":"ScienceDirect","title":"Oxytocin receptor behavioral effects and cell types in the bed nucleus of the stria terminalis","volume":"143","author":[{"family":"Luo","given":"Pei X."},{"family":"Zakharenkov","given":"Hannah Cortez"},{"family":"Torres","given":"Lisette Y."},{"family":"Rios","given":"Roberto A."},{"family":"Gegenhuber","given":"Bruno"},{"family":"Black","given":"Alexis M."},{"family":"Xu","given":"Christine K."},{"family":"Minie","given":"Vanessa A."},{"family":"Tran","given":"Amy M."},{"family":"Tollkuhn","given":"Jessica"},{"family":"Trainor","given":"Brian C."}],"issued":{"date-parts":[["2022",7,1]]}}}],"schema":"https://github.com/citation-style-language/schema/raw/master/csl-citation.json"} </w:instrText>
      </w:r>
      <w:r>
        <w:fldChar w:fldCharType="separate"/>
      </w:r>
      <w:r w:rsidR="00563A6D" w:rsidRPr="71BA0E7D">
        <w:rPr>
          <w:rFonts w:ascii="Calibri" w:hAnsi="Calibri" w:cs="Calibri"/>
          <w:sz w:val="24"/>
          <w:szCs w:val="24"/>
        </w:rPr>
        <w:t>(41)</w:t>
      </w:r>
      <w:r>
        <w:fldChar w:fldCharType="end"/>
      </w:r>
      <w:r>
        <w:t xml:space="preserve">. Prepubertal castration increased the number of c-fos positive neurons in BNSTam (Fig. </w:t>
      </w:r>
      <w:r w:rsidR="008512C1">
        <w:t>5</w:t>
      </w:r>
      <w:r>
        <w:t>E’, S5D, F</w:t>
      </w:r>
      <w:r w:rsidRPr="71BA0E7D">
        <w:rPr>
          <w:vertAlign w:val="subscript"/>
        </w:rPr>
        <w:t>1,21</w:t>
      </w:r>
      <w:r>
        <w:t xml:space="preserve">=4.51, p=0.046), regardless of stress status. The </w:t>
      </w:r>
      <w:r>
        <w:lastRenderedPageBreak/>
        <w:t xml:space="preserve">number of c-fos cells was negatively correlated with social approach (Fig. </w:t>
      </w:r>
      <w:r w:rsidR="00856C10">
        <w:t>5</w:t>
      </w:r>
      <w:r>
        <w:t xml:space="preserve">E”, </w:t>
      </w:r>
      <w:r w:rsidRPr="71BA0E7D">
        <w:rPr>
          <w:rFonts w:ascii="Symbol" w:hAnsi="Symbol"/>
        </w:rPr>
        <w:t>r</w:t>
      </w:r>
      <w:r>
        <w:t>=-0.46, p=0.02) but not social vigilance (Fig. S</w:t>
      </w:r>
      <w:r w:rsidR="00512F87">
        <w:t>6</w:t>
      </w:r>
      <w:r>
        <w:t xml:space="preserve">C). </w:t>
      </w:r>
    </w:p>
    <w:p w14:paraId="081F2ED0" w14:textId="7A8CDA16" w:rsidR="00F3296C" w:rsidRPr="00BC0B96" w:rsidRDefault="00F3296C" w:rsidP="00F3296C">
      <w:pPr>
        <w:spacing w:line="360" w:lineRule="auto"/>
        <w:rPr>
          <w:bCs/>
        </w:rPr>
      </w:pPr>
      <w:r w:rsidRPr="00BC0B96">
        <w:t xml:space="preserve">      We also tested whether defeat</w:t>
      </w:r>
      <w:r w:rsidR="00344EB4" w:rsidRPr="00BC0B96">
        <w:t>-</w:t>
      </w:r>
      <w:r w:rsidRPr="00BC0B96">
        <w:t xml:space="preserve">induced social avoidance and social vigilance in juvenile mice was dependent on oxytocin receptors (Fig. </w:t>
      </w:r>
      <w:r w:rsidR="00856C10" w:rsidRPr="00BC0B96">
        <w:t>5</w:t>
      </w:r>
      <w:r w:rsidRPr="00BC0B96">
        <w:t>F) as in adults</w:t>
      </w:r>
      <w:r w:rsidR="005E696A" w:rsidRPr="00BC0B96">
        <w:t xml:space="preserve"> </w:t>
      </w:r>
      <w:r w:rsidR="005E696A" w:rsidRPr="00BC0B96">
        <w:fldChar w:fldCharType="begin"/>
      </w:r>
      <w:r w:rsidR="005E696A" w:rsidRPr="00BC0B96">
        <w:instrText xml:space="preserve"> ADDIN ZOTERO_ITEM CSL_CITATION {"citationID":"nXLPsRrr","properties":{"formattedCitation":"(51)","plainCitation":"(51)","noteIndex":0},"citationItems":[{"id":7020,"uris":["http://zotero.org/users/5661202/items/EEB8VFAW"],"itemData":{"id":7020,"type":"article-journal","abstract":"BACKGROUND: The neuropeptide oxytocin (OT) is a key regulator of social and emotional behaviors. The effects of OT are context dependent, and it has been proposed that OT increases the salience of both positive and negative social cues. Here we tested whether the bed nucleus of the stria terminalis (BNST) mediates anxiogenic effects of OT.\nMETHODS: First, we studied the effects of systemic administration of an OT receptor (OTR) antagonist L-368,899 on social behavior in male and female California mice exposed to social defeat. We examined the effect of L-368,899 on G protein activation and used early growth response factor 1 immunohistochemistry to identify potential sites of OTR action. Finally, we examined the effects of L-368,899 infused in the BNST on behavior.\nRESULTS: A single dose of systemic L-368,899 increased social approach in stressed female mice and decreased social approach in male mice naïve to defeat. L-368,899 prevented OT activation of G proteins and did not activate G proteins in the absence of OT. Intranasal OT, which reduces social approach in female mice but not male mice, increased early growth response factor 1 immunoreactivity in the nucleus accumbens core and anteromedial BNST in female mice but not in male mice. Stressed female mice that received an infusion of L-368,899 into the anteromedial BNST but not the nucleus accumbens core increased social approach and decreased social vigilance responses.\nCONCLUSIONS: Our results suggest that OTR activation in anteromedial BNST induces a vigilance response in which individuals avoid, yet attend to, unfamiliar social contexts. Our results suggest that OTR antagonists may have unappreciated therapeutic potential for stress-induced psychiatric disorders.","container-title":"Biological Psychiatry","DOI":"10.1016/j.biopsych.2017.08.024","ISSN":"1873-2402","issue":"3","journalAbbreviation":"Biol. Psychiatry","language":"eng","note":"PMID: 29066224\nPMCID: PMC5743604","page":"203-213","source":"PubMed","title":"Oxytocin Receptors in the Anteromedial Bed Nucleus of the Stria Terminalis Promote Stress-Induced Social Avoidance in Female California Mice","volume":"83","author":[{"family":"Duque-Wilckens","given":"Natalia"},{"family":"Steinman","given":"Michael Q."},{"family":"Busnelli","given":"Marta"},{"family":"Chini","given":"Bice"},{"family":"Yokoyama","given":"Sae"},{"family":"Pham","given":"Mary"},{"family":"Laredo","given":"Sarah A."},{"family":"Hao","given":"Rebecca"},{"family":"Perkeybile","given":"Allison M."},{"family":"Minie","given":"Vanessa A."},{"family":"Tan","given":"Phillip B."},{"family":"Bales","given":"Karen L."},{"family":"Trainor","given":"Brian C."}],"issued":{"date-parts":[["2018",2,1]]}}}],"schema":"https://github.com/citation-style-language/schema/raw/master/csl-citation.json"} </w:instrText>
      </w:r>
      <w:r w:rsidR="005E696A" w:rsidRPr="00BC0B96">
        <w:fldChar w:fldCharType="separate"/>
      </w:r>
      <w:r w:rsidR="005E696A" w:rsidRPr="00BC0B96">
        <w:rPr>
          <w:rFonts w:ascii="Calibri" w:hAnsi="Calibri" w:cs="Calibri"/>
        </w:rPr>
        <w:t>(51)</w:t>
      </w:r>
      <w:r w:rsidR="005E696A" w:rsidRPr="00BC0B96">
        <w:fldChar w:fldCharType="end"/>
      </w:r>
      <w:r w:rsidRPr="00BC0B96">
        <w:t xml:space="preserve">. </w:t>
      </w:r>
      <w:r w:rsidRPr="00BC0B96">
        <w:rPr>
          <w:bCs/>
        </w:rPr>
        <w:t xml:space="preserve">In both males and females, treatment with 5 mg/kg </w:t>
      </w:r>
      <w:proofErr w:type="spellStart"/>
      <w:r w:rsidRPr="00BC0B96">
        <w:rPr>
          <w:bCs/>
        </w:rPr>
        <w:t>i.p.</w:t>
      </w:r>
      <w:proofErr w:type="spellEnd"/>
      <w:r w:rsidRPr="00BC0B96">
        <w:rPr>
          <w:bCs/>
        </w:rPr>
        <w:t xml:space="preserve"> of the oxytocin receptor antagonist L-368,899 30 min before testing increased social approach (Fig. </w:t>
      </w:r>
      <w:r w:rsidR="003B72DD" w:rsidRPr="00BC0B96">
        <w:rPr>
          <w:bCs/>
        </w:rPr>
        <w:t>5</w:t>
      </w:r>
      <w:r w:rsidRPr="00BC0B96">
        <w:rPr>
          <w:bCs/>
        </w:rPr>
        <w:t>G, main effect of dose F</w:t>
      </w:r>
      <w:r w:rsidRPr="00BC0B96">
        <w:rPr>
          <w:bCs/>
          <w:vertAlign w:val="subscript"/>
        </w:rPr>
        <w:t>2,42</w:t>
      </w:r>
      <w:r w:rsidRPr="00BC0B96">
        <w:rPr>
          <w:bCs/>
        </w:rPr>
        <w:t xml:space="preserve">=8.42, p&lt;0.001) and decreased </w:t>
      </w:r>
      <w:r w:rsidRPr="00BC0B96">
        <w:t>social vigilance (Fig.</w:t>
      </w:r>
      <w:r w:rsidRPr="00BC0B96">
        <w:rPr>
          <w:bCs/>
        </w:rPr>
        <w:t xml:space="preserve"> </w:t>
      </w:r>
      <w:r w:rsidR="00856C10" w:rsidRPr="00BC0B96">
        <w:rPr>
          <w:bCs/>
        </w:rPr>
        <w:t>5</w:t>
      </w:r>
      <w:r w:rsidRPr="00BC0B96">
        <w:rPr>
          <w:bCs/>
        </w:rPr>
        <w:t>H, Kruskal-Wallis=15.36, p&lt;0.009). There were no differences in behavior during the acclimation (Fig. S</w:t>
      </w:r>
      <w:r w:rsidR="00512F87" w:rsidRPr="00BC0B96">
        <w:rPr>
          <w:bCs/>
        </w:rPr>
        <w:t>6</w:t>
      </w:r>
      <w:proofErr w:type="gramStart"/>
      <w:r w:rsidRPr="00BC0B96">
        <w:rPr>
          <w:bCs/>
        </w:rPr>
        <w:t>E,S</w:t>
      </w:r>
      <w:proofErr w:type="gramEnd"/>
      <w:r w:rsidRPr="00BC0B96">
        <w:rPr>
          <w:bCs/>
        </w:rPr>
        <w:t>5F) or open field (Fig. S</w:t>
      </w:r>
      <w:r w:rsidR="00512F87" w:rsidRPr="00BC0B96">
        <w:rPr>
          <w:bCs/>
        </w:rPr>
        <w:t>6</w:t>
      </w:r>
      <w:r w:rsidRPr="00BC0B96">
        <w:rPr>
          <w:bCs/>
        </w:rPr>
        <w:t>G, S5H) phases. Together these results suggest</w:t>
      </w:r>
      <w:r w:rsidRPr="00BC0B96">
        <w:t xml:space="preserve"> that stress-induced social avoidance and social vigilance in both male and female juvenile mice is dependent on oxytocin receptor activation, as seen in adult females. Additionally, the results indicate that male pubertal hormones program these circuits to be less active in adulthood.</w:t>
      </w:r>
    </w:p>
    <w:p w14:paraId="2F53A3F3" w14:textId="77777777" w:rsidR="00F3296C" w:rsidRPr="00BC0B96" w:rsidRDefault="00F3296C" w:rsidP="00F3296C">
      <w:pPr>
        <w:spacing w:line="360" w:lineRule="auto"/>
        <w:rPr>
          <w:bCs/>
        </w:rPr>
      </w:pPr>
    </w:p>
    <w:p w14:paraId="36C57892" w14:textId="77777777" w:rsidR="00F3296C" w:rsidRPr="00BC0B96" w:rsidRDefault="00F3296C" w:rsidP="00F3296C">
      <w:pPr>
        <w:spacing w:line="360" w:lineRule="auto"/>
        <w:rPr>
          <w:rFonts w:cstheme="minorHAnsi"/>
          <w:bCs/>
        </w:rPr>
      </w:pPr>
      <w:r w:rsidRPr="00BC0B96">
        <w:rPr>
          <w:b/>
          <w:bCs/>
        </w:rPr>
        <w:t>Androgens Reverse the Effects of Prepubertal Castration on Behavior</w:t>
      </w:r>
      <w:r w:rsidRPr="00BC0B96">
        <w:t>.</w:t>
      </w:r>
      <w:r w:rsidRPr="00BC0B96">
        <w:rPr>
          <w:rFonts w:cstheme="minorHAnsi"/>
          <w:bCs/>
        </w:rPr>
        <w:t xml:space="preserve"> </w:t>
      </w:r>
    </w:p>
    <w:p w14:paraId="50AF43F7" w14:textId="10A9AE73" w:rsidR="00F3296C" w:rsidRPr="00BC0B96" w:rsidRDefault="00F3296C" w:rsidP="00F3296C">
      <w:pPr>
        <w:spacing w:line="360" w:lineRule="auto"/>
      </w:pPr>
      <w:r>
        <w:t xml:space="preserve">    To test the impact of androgen replacement at puberty, juvenile males were prepubertally castrated and randomly assigned to receive a silastic implant containing testosterone, the non-</w:t>
      </w:r>
      <w:proofErr w:type="spellStart"/>
      <w:r>
        <w:t>aromatizable</w:t>
      </w:r>
      <w:proofErr w:type="spellEnd"/>
      <w:r>
        <w:t xml:space="preserve"> androgen dihydrotestosterone (DHT), or sealant only (Fig </w:t>
      </w:r>
      <w:r w:rsidR="002F7BD1">
        <w:t>6</w:t>
      </w:r>
      <w:r>
        <w:t>A). These implants produce plasma hormone levels within</w:t>
      </w:r>
      <w:r w:rsidR="001F4309">
        <w:t xml:space="preserve"> the</w:t>
      </w:r>
      <w:r>
        <w:t xml:space="preserve"> physiological range of adult male California mice </w:t>
      </w:r>
      <w:r>
        <w:fldChar w:fldCharType="begin"/>
      </w:r>
      <w:r w:rsidR="00C327F5">
        <w:instrText xml:space="preserve"> ADDIN ZOTERO_ITEM CSL_CITATION {"citationID":"0jVM484v","properties":{"formattedCitation":"(57)","plainCitation":"(57)","noteIndex":0},"citationItems":[{"id":"dX9booob/BktTIOqj","uris":["http://zotero.org/users/local/0DUDweI1/items/MVCVS5GL"],"itemData":{"id":"BfR9AN1n/Nx5eheFo","type":"article-journal","abstract":"Although high testosterone (T) levels inhibit paternal behaviour in birds breeding in temperate zones many paternal mammals have a very different breeding biology, characterized by a post-partum oestrus. In species with post-partum oestrus, males may engage in T-dependent behaviours such as aggression and copulation simultaneously with paternal behaviour. We previously found that T promotes paternal behaviour in the California mouse, Peromyscus californicus. We examine whether this effect is mediated by the conversion of T to oestradiol (E2) by aromatase. In the first experiment, gonadectomized males treated with T or E2 implants showed higher levels of huddling and pup grooming behaviour than gonadectomized males treated with dihydrotestosterone or empty implants. In the second experiment, we used an aromatase inhibitor (fadrozole) (FAD) to confirm these results. Gonadectomized males treated with T + vehicle or E2 + FAD showed higher levels of huddling and pup grooming behaviour than gonadectomized males treated with T + FAD or empty implants. Although E2 is known to promote the onset of maternal behaviour to our knowledge our results are the first to demonstrate that E2 can promote paternal behaviour in a paternal mammal. These results may explain how mammals express paternal behaviour while T levels are elevated.","container-title":"Proceedings of the Royal Society of London. Series B: Biological Sciences","DOI":"10.1098/rspb.2001.1954","issue":"1493","journalAbbreviation":"Proceedings of the Royal Society of London. Series B: Biological Sciences","note":"publisher: Royal Society","page":"823-829","source":"royalsocietypublishing.org (Atypon)","title":"Testosterone promotes paternal behaviour in a monogamous mammal via conversion to oestrogen","volume":"269","author":[{"family":"Trainor","given":"Brian C."},{"family":"Marler","given":"Catherine A."}],"issued":{"date-parts":[["2002",4,22]]}}}],"schema":"https://github.com/citation-style-language/schema/raw/master/csl-citation.json"} </w:instrText>
      </w:r>
      <w:r>
        <w:fldChar w:fldCharType="separate"/>
      </w:r>
      <w:r w:rsidR="00C956A6" w:rsidRPr="3865CA10">
        <w:rPr>
          <w:rFonts w:ascii="Calibri" w:hAnsi="Calibri" w:cs="Calibri"/>
          <w:sz w:val="24"/>
          <w:szCs w:val="24"/>
        </w:rPr>
        <w:t>(57)</w:t>
      </w:r>
      <w:r>
        <w:fldChar w:fldCharType="end"/>
      </w:r>
      <w:r>
        <w:t xml:space="preserve">. </w:t>
      </w:r>
      <w:r w:rsidR="7F3AB280">
        <w:t>Between</w:t>
      </w:r>
      <w:r>
        <w:t xml:space="preserve"> PN90</w:t>
      </w:r>
      <w:r w:rsidR="05F639F4">
        <w:t>-92</w:t>
      </w:r>
      <w:r>
        <w:t>, mice were exposed to defeat stress and then</w:t>
      </w:r>
      <w:r w:rsidR="6B998857">
        <w:t xml:space="preserve"> two weeks later</w:t>
      </w:r>
      <w:r>
        <w:t xml:space="preserve"> tested in a social interaction test. Results demonstrated that hormone replacement altered social approach (Fig. </w:t>
      </w:r>
      <w:r w:rsidR="002F7BD1">
        <w:t>6</w:t>
      </w:r>
      <w:r>
        <w:t>B, F</w:t>
      </w:r>
      <w:r w:rsidRPr="3865CA10">
        <w:rPr>
          <w:vertAlign w:val="subscript"/>
        </w:rPr>
        <w:t>2,22</w:t>
      </w:r>
      <w:r>
        <w:t xml:space="preserve">=6.2, p&lt;0.01) and social vigilance (Fig. </w:t>
      </w:r>
      <w:r w:rsidR="002F7BD1">
        <w:t>6</w:t>
      </w:r>
      <w:r>
        <w:t>C, Kruskal-Wallis=13.13, p&lt;0.001). For social approach both testosterone (p=0.002, d=1.7) and DHT (p=0.002, d=1.0) treatment yielded significantly higher levels of social approach compared to males treated with empty implants. Similarly for social vigilance both testosterone (p&lt;0.001, d=3.1) and DHT (P=0.049, d=1.1) treated males had lower social vigilance than males treated with empty implants. There was a nonsignificant trend for testosterone treated males to have lower social vigilance than DHT treated males (p=0.078, d=1.0). During the acclimation phase T and DHT treatment increased approach to an empty cage (Fig. S</w:t>
      </w:r>
      <w:r w:rsidR="00974D18">
        <w:t>7</w:t>
      </w:r>
      <w:r>
        <w:t>A, F</w:t>
      </w:r>
      <w:r w:rsidRPr="3865CA10">
        <w:rPr>
          <w:vertAlign w:val="subscript"/>
        </w:rPr>
        <w:t>2,22</w:t>
      </w:r>
      <w:r>
        <w:t>=5.02, p&lt;0.02) and there were no differences in behavior during the open field phase (Fig. S</w:t>
      </w:r>
      <w:r w:rsidR="00974D18">
        <w:t>7</w:t>
      </w:r>
      <w:r>
        <w:t>B, S</w:t>
      </w:r>
      <w:r w:rsidR="00974D18">
        <w:t>7</w:t>
      </w:r>
      <w:r>
        <w:t xml:space="preserve">C). We also tested whether DHT </w:t>
      </w:r>
      <w:r>
        <w:lastRenderedPageBreak/>
        <w:t xml:space="preserve">treatment at puberty could impact female behavior (Fig. </w:t>
      </w:r>
      <w:r w:rsidR="002F7BD1">
        <w:t>6</w:t>
      </w:r>
      <w:r>
        <w:t xml:space="preserve">D). In social interaction tests performed before stress exposure, there were no differences in social approach (Fig. </w:t>
      </w:r>
      <w:r w:rsidR="002F7BD1">
        <w:t>6</w:t>
      </w:r>
      <w:r>
        <w:t xml:space="preserve">E), social vigilance (Fig. </w:t>
      </w:r>
      <w:r w:rsidR="002F7BD1">
        <w:t>6</w:t>
      </w:r>
      <w:r>
        <w:t>F), acclimation (Fig. S</w:t>
      </w:r>
      <w:r w:rsidR="00974D18">
        <w:t>7</w:t>
      </w:r>
      <w:r>
        <w:t>D) or open field behavior (Fig. S</w:t>
      </w:r>
      <w:r w:rsidR="00974D18">
        <w:t>7</w:t>
      </w:r>
      <w:proofErr w:type="gramStart"/>
      <w:r>
        <w:t>E,F</w:t>
      </w:r>
      <w:proofErr w:type="gramEnd"/>
      <w:r>
        <w:t xml:space="preserve">). Importantly, after social defeat, hormone treatment altered social approach (Fig. </w:t>
      </w:r>
      <w:r w:rsidR="002F7BD1">
        <w:t>6</w:t>
      </w:r>
      <w:r>
        <w:t>E, F</w:t>
      </w:r>
      <w:r w:rsidRPr="3865CA10">
        <w:rPr>
          <w:vertAlign w:val="subscript"/>
        </w:rPr>
        <w:t>2,23</w:t>
      </w:r>
      <w:r>
        <w:t>=3.76, p= 0.04) with DHT increasing social approach versus empty implants (p=0.02, d=0.1). Effects on social vigilance were weaker (Kruskal-Wallis=5.04, p=0.08), with a post-hoc test indicating lower levels of social vigilance in DHT treated mice versus empty implant (Mann-Whitney=11, p=0.028, d=1.2). After stress exposure DHT treatment increased approach to an empty cage (Fig. S</w:t>
      </w:r>
      <w:r w:rsidR="00974D18">
        <w:t>7</w:t>
      </w:r>
      <w:r>
        <w:t>D, F</w:t>
      </w:r>
      <w:r w:rsidRPr="3865CA10">
        <w:rPr>
          <w:vertAlign w:val="subscript"/>
        </w:rPr>
        <w:t>2,23</w:t>
      </w:r>
      <w:r>
        <w:t>=5.32, p= 0.01) while there were no differences in the open field phase (Fig. S</w:t>
      </w:r>
      <w:r w:rsidR="00974D18">
        <w:t>7</w:t>
      </w:r>
      <w:r>
        <w:t>E, S</w:t>
      </w:r>
      <w:r w:rsidR="00974D18">
        <w:t>7</w:t>
      </w:r>
      <w:r>
        <w:t>F)</w:t>
      </w:r>
    </w:p>
    <w:p w14:paraId="01785B12" w14:textId="77777777" w:rsidR="00980C22" w:rsidRPr="00BC0B96" w:rsidRDefault="00980C22" w:rsidP="00980C22">
      <w:pPr>
        <w:keepNext/>
        <w:pBdr>
          <w:top w:val="nil"/>
          <w:left w:val="nil"/>
          <w:bottom w:val="nil"/>
          <w:right w:val="nil"/>
          <w:between w:val="nil"/>
        </w:pBdr>
        <w:spacing w:before="240" w:after="60"/>
        <w:contextualSpacing/>
        <w:jc w:val="both"/>
        <w:rPr>
          <w:rFonts w:ascii="Arial" w:hAnsi="Arial" w:cs="Arial"/>
          <w:sz w:val="20"/>
          <w:szCs w:val="20"/>
        </w:rPr>
      </w:pPr>
    </w:p>
    <w:p w14:paraId="014A7FBC" w14:textId="6180E063" w:rsidR="00E6133D" w:rsidRPr="00BC0B96" w:rsidRDefault="00474D11" w:rsidP="00E6133D">
      <w:pPr>
        <w:pBdr>
          <w:top w:val="nil"/>
          <w:left w:val="nil"/>
          <w:bottom w:val="nil"/>
          <w:right w:val="nil"/>
          <w:between w:val="nil"/>
        </w:pBdr>
        <w:contextualSpacing/>
        <w:rPr>
          <w:rFonts w:ascii="Arial" w:hAnsi="Arial" w:cs="Arial"/>
          <w:sz w:val="20"/>
          <w:szCs w:val="20"/>
        </w:rPr>
      </w:pPr>
      <w:r w:rsidRPr="00BC0B96">
        <w:rPr>
          <w:rFonts w:ascii="Arial" w:hAnsi="Arial" w:cs="Arial"/>
          <w:b/>
          <w:sz w:val="20"/>
          <w:szCs w:val="20"/>
        </w:rPr>
        <w:t>Discussion</w:t>
      </w:r>
      <w:r w:rsidR="00E6133D" w:rsidRPr="00BC0B96">
        <w:rPr>
          <w:rFonts w:ascii="Arial" w:hAnsi="Arial" w:cs="Arial"/>
          <w:b/>
          <w:sz w:val="20"/>
          <w:szCs w:val="20"/>
        </w:rPr>
        <w:t xml:space="preserve"> </w:t>
      </w:r>
    </w:p>
    <w:p w14:paraId="2212F9A2" w14:textId="77777777" w:rsidR="00980C22" w:rsidRPr="00BC0B96" w:rsidRDefault="00980C22" w:rsidP="00980C22">
      <w:pPr>
        <w:pBdr>
          <w:top w:val="nil"/>
          <w:left w:val="nil"/>
          <w:bottom w:val="nil"/>
          <w:right w:val="nil"/>
          <w:between w:val="nil"/>
        </w:pBdr>
        <w:spacing w:after="0"/>
        <w:contextualSpacing/>
        <w:rPr>
          <w:rFonts w:ascii="Arial" w:hAnsi="Arial" w:cs="Arial"/>
          <w:sz w:val="20"/>
          <w:szCs w:val="20"/>
        </w:rPr>
      </w:pPr>
    </w:p>
    <w:p w14:paraId="772F2D16" w14:textId="6BCA3F88" w:rsidR="00F63FF9" w:rsidRPr="00BC0B96" w:rsidRDefault="3218E0CB" w:rsidP="00F63FF9">
      <w:pPr>
        <w:spacing w:line="360" w:lineRule="auto"/>
        <w:rPr>
          <w:rFonts w:ascii="Calibri" w:eastAsia="Calibri" w:hAnsi="Calibri" w:cs="Calibri"/>
        </w:rPr>
      </w:pPr>
      <w:r w:rsidRPr="00BC0B96">
        <w:rPr>
          <w:rFonts w:ascii="Calibri" w:eastAsia="Calibri" w:hAnsi="Calibri" w:cs="Calibri"/>
        </w:rPr>
        <w:t>Sex differences in stress-sensitivity emerge at puberty in both humans</w:t>
      </w:r>
      <w:r w:rsidRPr="00BC0B96">
        <w:t xml:space="preserve"> </w:t>
      </w:r>
      <w:r w:rsidR="00F63FF9" w:rsidRPr="00BC0B96">
        <w:fldChar w:fldCharType="begin"/>
      </w:r>
      <w:r w:rsidR="00F63FF9" w:rsidRPr="00BC0B96">
        <w:instrText xml:space="preserve"> ADDIN ZOTERO_ITEM CSL_CITATION {"citationID":"3HoRy3yj","properties":{"formattedCitation":"(58, 59)","plainCitation":"(58, 59)","noteIndex":0},"citationItems":[{"id":9639,"uris":["http://zotero.org/users/5661202/items/G2Z33QDP"],"itemData":{"id":9639,"type":"article-journal","container-title":"Developmental Science","DOI":"10.1111/desc.12195","ISSN":"1363755X","issue":"2","journalAbbreviation":"Dev Sci","language":"en","page":"281-297","source":"DOI.org (Crossref)","title":"Parent support is less effective in buffering cortisol stress reactivity for adolescents compared to children","volume":"18","author":[{"family":"Hostinar","given":"Camelia E."},{"family":"Johnson","given":"Anna E."},{"family":"Gunnar","given":"Megan R."}],"issued":{"date-parts":[["2015",3]]}}},{"id":8858,"uris":["http://zotero.org/users/5661202/items/ABF6BJBF"],"itemData":{"id":8858,"type":"article-journal","abstract":"Social vigilance is a behavioral strategy commonly used in adverse or changing social environments. In animals, a combination of avoidance and vigilance allows an individual to evade potentially dangerous confrontations while monitoring the social environment to identify favorable changes. However, prolonged use of this behavioral strategy in humans is associated with increased risk of anxiety disorders, a major burden for human health. Elucidating the mechanisms of social vigilance in animals could provide important clues for new treatment strategies for social anxiety. Importantly, during adolescence the prevalence of social anxiety increases significantly. We hypothesize that many of the actions typically characterized as anxiety behaviors begin to emerge during this time as strategies for navigating more complex social structures. Here, we consider how the social environment and the pubertal transition shape neural circuits that modulate social vigilance, focusing on the bed nucleus of the stria terminalis and prefrontal cortex. The emergence of gonadal hormone secretion during adolescence has important effects on the function and structure of these circuits, and may play a role in the emergence of a notable sex difference in anxiety rates across adolescence. However, the significance of these changes in the context of anxiety is still uncertain, as not enough studies are sufficiently powered to evaluate sex as a biological variable. We conclude that greater integration between human and animal models will aid the development of more effective strategies for treating social anxiety.","container-title":"European Journal of Neuroscience","DOI":"10.1111/ejn.14628","ISSN":"1460-9568","issue":"1","language":"en","note":"_eprint: https://onlinelibrary.wiley.com/doi/pdf/10.1111/ejn.14628","page":"2516-2529","source":"Wiley Online Library","title":"Anxious to see you: Neuroendocrine mechanisms of social vigilance and anxiety during adolescence","title-short":"Anxious to see you","volume":"52","author":[{"family":"Wright","given":"Emily C."},{"family":"Hostinar","given":"Camelia E."},{"family":"Trainor","given":"Brian C."}],"issued":{"date-parts":[["2020"]]}}}],"schema":"https://github.com/citation-style-language/schema/raw/master/csl-citation.json"} </w:instrText>
      </w:r>
      <w:r w:rsidR="00F63FF9" w:rsidRPr="00BC0B96">
        <w:fldChar w:fldCharType="separate"/>
      </w:r>
      <w:r w:rsidR="06B8574B" w:rsidRPr="00BC0B96">
        <w:rPr>
          <w:rFonts w:ascii="Calibri" w:hAnsi="Calibri" w:cs="Calibri"/>
          <w:sz w:val="24"/>
          <w:szCs w:val="24"/>
        </w:rPr>
        <w:t>(58, 59)</w:t>
      </w:r>
      <w:r w:rsidR="00F63FF9" w:rsidRPr="00BC0B96">
        <w:fldChar w:fldCharType="end"/>
      </w:r>
      <w:r w:rsidRPr="00BC0B96">
        <w:t xml:space="preserve"> and animals </w:t>
      </w:r>
      <w:r w:rsidR="00F63FF9" w:rsidRPr="00BC0B96">
        <w:fldChar w:fldCharType="begin"/>
      </w:r>
      <w:r w:rsidR="00F63FF9" w:rsidRPr="00BC0B96">
        <w:instrText xml:space="preserve"> ADDIN ZOTERO_ITEM CSL_CITATION {"citationID":"X2XFFdoX","properties":{"formattedCitation":"(20\\uc0\\u8211{}22)","plainCitation":"(20–22)","noteIndex":0},"citationItems":[{"id":1595,"uris":["http://zotero.org/users/5661202/items/JDAWQVJ3"],"itemData":{"id":1595,"type":"article-journal","container-title":"Hormones and Behavior","page":"112-120","title":"Behavioral effects of chronic adolescent stress are sustained and sexually dimorphic","volume":"60","author":[{"family":"Bourke","given":"C H"},{"family":"Neigh","given":"Gretchen N"}],"issued":{"date-parts":[["2011"]]}}},{"id":9556,"uris":["http://zotero.org/users/5661202/items/392IIEUL"],"itemData":{"id":9556,"type":"article-journal","abstract":"Adolescence is a critical time of brain development for regions governing social behaviour and social learning. Social experiences influence the ongoing maturation of the neural structures and ultimately modify the social behaviour of adults in response to social cues. Social instability stress in adolescence (SS; daily 1-hour isolation + change of cage partner in postnatal days [PND] 30-45) leads to a long-lasting reduction in social interaction in SS rats compared with non-stressed (CTL) rats in males; here we investigate females. In a first experiment, we found that female rats exposed to adolescent SS also showed the decrement in social interaction irrespective of age at which tested, and replicated the effects previously found in males. In experiment 2, which involved females only, SS and CTL rats did not differ in anxiety-like behaviour in the elevated plus maze (EPM) and the reduction in social interaction was not significant. Nevertheless, when tested in adolescence at P47 (and not at P71), SS female rats had higher corticosterone release during the social interaction test than did CTL rats, and they exhibited a different pattern of neural activation as measured by immunoreactivity to the protein products of zif268 and c-fos (SS &lt; CTL in medial prefrontal cortex and SS &gt; CTL in hippocampus), and reduced oxytocin immunoreactivity in the paraventricular nucleus of the hypothalamus than did CTL rats. These results extend our previous findings of effects of SS in adolescent female rats on behavioural responses to psychostimulants to social behaviour, and point to directions for investigations of the neural mechanisms involved.","container-title":"Neuroscience","DOI":"10.1016/j.neuroscience.2021.09.022","ISSN":"1873-7544","journalAbbreviation":"Neuroscience","language":"eng","note":"PMID: 34619317","page":"1-13","source":"PubMed","title":"Social Instability Stress in Adolescence and Social Interaction in Female Rats","volume":"477","author":[{"family":"Asgari","given":"Pardis"},{"family":"McKinney","given":"Ghraer"},{"family":"Hodges","given":"Travis E."},{"family":"McCormick","given":"Cheryl M."}],"issued":{"date-parts":[["2021",11,21]]}}},{"id":9558,"uris":["http://zotero.org/users/5661202/items/8URAMVNG"],"itemData":{"id":9558,"type":"article-journal","abstract":"Adolescence is a critical time of social learning in which both the quantity and quality of social interactions shape adult behavior and social function. During adolescence, social instability such as disrupting or limiting social interactions can lead to negative life-long effects on mental health and well-being in humans. Animal models on social instability are critically important in understanding those underlying neurobiological mechanisms. However, studies in rats using these models have produced partly inconsistent results and can be difficult to generalize. Here we assessed in a sex and age consistent manner the long-term behavioural consequences of social instability stress (SIS - 1-hr daily isolation and change in cage mate between postnatal day (PD30–45)) in Wistar rats. Female and male rats underwent a battery of tests for anxiety-like, exploratory, and social behaviour over five days beginning either in adolescence (PD46) or in adulthood (PD70). Social instability led to reduced anxiety-like behaviour in the elevated plus maze in both sexes in adolescence and in adulthood. Social interactions were also reduced in rats that underwent SIS – an effect that was independent of sex and age when tested. SIS improved social recognition memory in both sexes whereas a sex-dependent effect was seen in the social novelty preference test where male rats that underwent SIS spent more time in social approach toward a novel peer than toward their cage mate. In comparison, control male and female groups did not differ in this test, in time spent with novel versus the cage mate. Thus, overall, social instability stress in Wistar rats altered the behavioural repertoire, with enduring alterations in social behaviour, enhanced exploratory behaviour, and reduced anxiety-like behaviour. In conclusion, the social instability stress paradigm may better be interpreted as a form of enrichment in Wistar rats than as a stressor.","container-title":"Behavioural Brain Research","DOI":"10.1016/j.bbr.2022.114180","ISSN":"0166-4328","journalAbbreviation":"Behavioural Brain Research","language":"en","page":"114180","source":"ScienceDirect","title":"Acute and long-term sex-dependent effects of social instability stress on anxiety-like and social behaviours in Wistar rats","volume":"438","author":[{"family":"Graf","given":"Akseli"},{"family":"Murray","given":"Shealin H."},{"family":"Eltahir","given":"Akif"},{"family":"Patel","given":"Smit"},{"family":"Hansson","given":"Anita C."},{"family":"Spanagel","given":"Rainer"},{"family":"McCormick","given":"Cheryl M."}],"issued":{"date-parts":[["2023",2,13]]}}}],"schema":"https://github.com/citation-style-language/schema/raw/master/csl-citation.json"} </w:instrText>
      </w:r>
      <w:r w:rsidR="00F63FF9" w:rsidRPr="00BC0B96">
        <w:fldChar w:fldCharType="separate"/>
      </w:r>
      <w:r w:rsidR="15ED6157" w:rsidRPr="00BC0B96">
        <w:rPr>
          <w:rFonts w:ascii="Calibri" w:hAnsi="Calibri" w:cs="Calibri"/>
          <w:sz w:val="24"/>
          <w:szCs w:val="24"/>
        </w:rPr>
        <w:t>(20–22)</w:t>
      </w:r>
      <w:r w:rsidR="00F63FF9" w:rsidRPr="00BC0B96">
        <w:fldChar w:fldCharType="end"/>
      </w:r>
      <w:r w:rsidRPr="00BC0B96">
        <w:t xml:space="preserve">, coinciding with an increased incidence of anxiety in women </w:t>
      </w:r>
      <w:r w:rsidR="00F63FF9" w:rsidRPr="00BC0B96">
        <w:fldChar w:fldCharType="begin"/>
      </w:r>
      <w:r w:rsidR="00C327F5">
        <w:instrText xml:space="preserve"> ADDIN ZOTERO_ITEM CSL_CITATION {"citationID":"H7HS0PeF","properties":{"formattedCitation":"(10, 12, 14, 15)","plainCitation":"(10, 12, 14, 15)","noteIndex":0},"citationItems":[{"id":"dX9booob/pxeH5wDQ","uris":["http://zotero.org/users/local/0DUDweI1/items/ES5NQYZB"],"itemData":{"id":"ZGgvDqsX/hDevZNb8","type":"article-journal","abstract":"CONTEXT: Epidemiological findings demonstrating an increased risk for individuals with social anxiety disorder (SAD) to develop depression have been challenged by discrepant findings from prospective longitudinal examinations in childhood and early adolescence.\nOBJECTIVES: To examine patterns of SAD incidence, the consistency of associations of SAD with subsequent depression, and distal and proximal predictors for subsequent depression.\nDESIGN: Face-to-face, 10-year prospective longitudinal and family study of up to 4 waves. The DSM-IV Munich-Composite International Diagnostic Interview was administered by clinically trained interviewers.\nSETTING: Community sample in Munich.\nPARTICIPANTS: Three thousand twenty-one individuals aged 14 to 24 years at baseline and 21 to 34 years at follow-up.\nMAIN OUTCOME MEASURES: Cumulative incidence of SAD and depression (major depressive episode or dysthymia).\nRESULTS: Cumulative incidence for SAD was 11.0%; for depression, 27.0%. Standardized person-years of incidence for SAD were highest for those aged 10 to 19 years (0.72%) and were low before (0.20%) and after (0.19%) that age range. Depression incidence was different, characterized by delayed and continued high rates. Social anxiety disorder was consistently associated with subsequent depression, independent of age at onset for SAD (relative risk range, 1.49-1.85, controlling for age and sex). Crude Cox regressions showed significant distal (eg, parental anxiety or depression, behavioral inhibition) and proximal SAD characteristics (eg, severity measures, persistence) as predictors. Most associations were attenuated in multiple models, leaving behavioral inhibition (hazard ratio, 1.30 [95% confidence interval, 1.04-1.62; P = .02]) and, less consistently, panic (hazard ratio, 1.85 [95% confidence interval, 1.08-3.18; P = .03]) as the remaining significant predictors.\nCONCLUSIONS: Social anxiety disorder is an early, adolescent-onset disorder related to a substantially and consistently increased risk for subsequent depression. The demonstration of proximal and particularly distal predictors for increased depression risks requires further exploration to identify their moderator or mediator role. Along with previous evidence that comorbid SAD is associated with a more malignant course and character of depression, these results call for targeted prevention with the aim of reducing the burden of SAD and its consequences.","container-title":"Archives of General Psychiatry","DOI":"10.1001/archpsyc.64.8.903","ISSN":"0003-990X","issue":"8","journalAbbreviation":"Arch. Gen. Psychiatry","language":"eng","note":"PMID: 17679635","page":"903-912","source":"PubMed","title":"Incidence of social anxiety disorder and the consistent risk for secondary depression in the first three decades of life","volume":"64","author":[{"family":"Beesdo","given":"Katja"},{"family":"Bittner","given":"Antje"},{"family":"Pine","given":"Daniel S."},{"family":"Stein","given":"Murray B."},{"family":"Höfler","given":"Michael"},{"family":"Lieb","given":"Roselind"},{"family":"Wittchen","given":"Hans-Ulrich"}],"issued":{"date-parts":[["2007",8]]}}},{"id":"dX9booob/hmUHveiO","uris":["http://zotero.org/users/local/0DUDweI1/items/3MQBLDJA"],"itemData":{"id":"ZGgvDqsX/wwENSRCf","type":"article-journal","abstract":"Adolescent development is accompanied by the emergence of a population-wide increase in vulnerability to depression that is maintained through adulthood. We provide a model for understanding how this vulnerability to depression arises, and why depression is so often precipitated by social rejection or loss of status during this phase. There is substantial remodeling and maturation of the dopaminergic reward system and the prefrontal cortex during adolescence, that coincides with the adolescent entering the complex world of adult peer and romantic relationships, where the rewards that can be obtained (feelings such as belonging, romantic love, status and agency) are abstract and temporally distant from the proximal context. Development of the prefrontal cortex makes it possible to pursue such complex and distal rewards, which are, however, tenuous and more readily frustrated than more immediate rewards. We hypothesize that when these distant rewards are frustrated they suppress the reward system, and that when such suppression is extensive and occurs for long enough, the clinical picture that results is one of depression.","container-title":"Neuroscience and Biobehavioral Reviews","DOI":"10.1016/j.neubiorev.2007.04.016","ISSN":"0149-7634","issue":"1","journalAbbreviation":"Neurosci Biobehav Rev","language":"eng","note":"PMID: 17570526","page":"1-19","source":"PubMed","title":"The emergence of depression in adolescence: development of the prefrontal cortex and the representation of reward","title-short":"The emergence of depression in adolescence","volume":"32","author":[{"family":"Davey","given":"Christopher G."},{"family":"Yücel","given":"Murat"},{"family":"Allen","given":"Nicholas B."}],"issued":{"date-parts":[["2008"]]}}},{"id":"dX9booob/igyP192m","uris":["http://zotero.org/users/local/0DUDweI1/items/BHX5YCF2"],"itemData":{"id":"ZGgvDqsX/y6C12T41","type":"article-journal","title":"Gender–age interaction in incidence rates of childhood emotional disorders","container-title":"Psychological Medicine","page":"829-839","volume":"45","issue":"4","source":"Cambridge Core","abstract":"Background\nThe post-pubertal association of female gender with emotional disorder is a robust finding. However, studies exploring the association of gender and emotional disorders before puberty are few and present diverging results. The aim of this study was to present gender-specific incidence rates of emotional disorders throughout childhood.\n\n\nMethod\nThis is a population-based cohort study of 907 806 Danish 3- to 18-year-olds. The outcome was assignment of an emotional disorder diagnosis based on in-patient and out-patient data from The Danish Psychiatric Central Register. Outcome measures were incidence rates and cumulative incidences for unipolar depressive disorder (ICD-10: F32–F33), anxiety disorders (ICD-10: F40–F42), and emotional disorders with onset specific to childhood (ICD-10: F93).\n\n\nResults\nPre-pubertal incidence rates for depressive and anxiety disorders were higher for boys than girls. At age 12 years the pattern reversed. The cumulative incidence for any emotional disorder (F32–F33, F40–F42, F93) on the 11th birthday was 0.52% (95% CI 0.50–0.55) for boys and 0.31% (95% CI 0.29–0.33) for girls. On the 19th birthday cumulative incidence was 2.33% (95% CI 2.24–2.43) for boys and 3.77% (95% CI 3.64–3.90) for girls. The pre-pubertal male preponderance was also significant for depressive disorders (F32–F33, p = 0.00144) and anxiety disorders (F40–F42, F93, p &lt; 0.00001) separately.\n\n\nConclusions\nEmotional disorders seem to display a male preponderance before the age of 12 years and a female preponderance thereafter. Studies exploring this gender–age interaction are needed. Still, the results question the general assumption that females throughout the lifespan are more at risk for emotional disorders than males.","DOI":"10.1017/S0033291714001901","ISSN":"0033-2917, 1469-8978","language":"en","author":[{"family":"Wesselhoeft","given":"R."},{"family":"Pedersen","given":"C. B."},{"family":"Mortensen","given":"P. B."},{"family":"Mors","given":"O."},{"family":"Bilenberg","given":"N."}],"issued":{"date-parts":[["2015",3]]}},"label":"page"},{"id":"dX9booob/gL5oe3fJ","uris":["http://zotero.org/users/local/0DUDweI1/items/76ICKNXR"],"itemData":{"id":"ZGgvDqsX/93jfgWA2","type":"article-journal","container-title":"Psychiatric Services","DOI":"10.1176/ps.2006.57.12.1738","ISSN":"1075-2730","issue":"12","journalAbbreviation":"PS","note":"publisher: American Psychiatric Publishing","page":"1738-1744","source":"ps.psychiatryonline.org (Atypon)","title":"Prevalence of Generalized Anxiety Disorder in General Practice in Denmark, Finland, Norway, and Sweden","volume":"57","author":[{"family":"Munk-Jørgensen","given":"Povl"},{"family":"Allgulander","given":"Christer"},{"family":"Dahl","given":"Alv A."},{"family":"Foldager","given":"Leslie"},{"family":"Holm","given":"Marthin"},{"family":"Rasmussen","given":"Ib"},{"family":"Virta","given":"Anti"},{"family":"Huuhtanen","given":"Marja-Terttu"},{"family":"Wittchen","given":"Hans-Ulrich"}],"issued":{"date-parts":[["2006",12,1]]}}}],"schema":"https://github.com/citation-style-language/schema/raw/master/csl-citation.json"} </w:instrText>
      </w:r>
      <w:r w:rsidR="00F63FF9" w:rsidRPr="00BC0B96">
        <w:fldChar w:fldCharType="separate"/>
      </w:r>
      <w:r w:rsidR="15ED6157" w:rsidRPr="00BC0B96">
        <w:rPr>
          <w:rFonts w:ascii="Calibri" w:hAnsi="Calibri" w:cs="Calibri"/>
        </w:rPr>
        <w:t>(10, 12, 14, 15)</w:t>
      </w:r>
      <w:r w:rsidR="00F63FF9" w:rsidRPr="00BC0B96">
        <w:fldChar w:fldCharType="end"/>
      </w:r>
      <w:r w:rsidR="713B522F" w:rsidRPr="00BC0B96">
        <w:t>. However,</w:t>
      </w:r>
      <w:r w:rsidRPr="00BC0B96">
        <w:t xml:space="preserve"> </w:t>
      </w:r>
      <w:r w:rsidRPr="00BC0B96">
        <w:rPr>
          <w:rFonts w:ascii="Calibri" w:eastAsia="Calibri" w:hAnsi="Calibri" w:cs="Calibri"/>
        </w:rPr>
        <w:t>little is known about the underlying mechanisms</w:t>
      </w:r>
      <w:r w:rsidRPr="00BC0B96">
        <w:t>.</w:t>
      </w:r>
      <w:r w:rsidRPr="00BC0B96">
        <w:rPr>
          <w:rFonts w:ascii="Calibri" w:eastAsia="Calibri" w:hAnsi="Calibri" w:cs="Calibri"/>
        </w:rPr>
        <w:t xml:space="preserve"> Our study fills a gap in knowledge by establishing a causal link between androgens and reduced impact of social stress on approach and vigilance behaviors. Previous studies showed that social stress increased neural activity within the BNST, but the precise timing of this activity in relation to threats and defensive responses was unknown. </w:t>
      </w:r>
      <w:r w:rsidR="77107617" w:rsidRPr="00BC0B96">
        <w:rPr>
          <w:rFonts w:ascii="Calibri" w:eastAsia="Calibri" w:hAnsi="Calibri" w:cs="Calibri"/>
        </w:rPr>
        <w:t>Here</w:t>
      </w:r>
      <w:r w:rsidR="4B3BED75" w:rsidRPr="00BC0B96">
        <w:rPr>
          <w:rFonts w:ascii="Calibri" w:eastAsia="Calibri" w:hAnsi="Calibri" w:cs="Calibri"/>
        </w:rPr>
        <w:t>,</w:t>
      </w:r>
      <w:r w:rsidR="473CA700" w:rsidRPr="00BC0B96">
        <w:rPr>
          <w:rFonts w:ascii="Calibri" w:eastAsia="Calibri" w:hAnsi="Calibri" w:cs="Calibri"/>
        </w:rPr>
        <w:t xml:space="preserve"> c</w:t>
      </w:r>
      <w:r w:rsidRPr="00BC0B96">
        <w:rPr>
          <w:rFonts w:ascii="Calibri" w:eastAsia="Calibri" w:hAnsi="Calibri" w:cs="Calibri"/>
        </w:rPr>
        <w:t>alci</w:t>
      </w:r>
      <w:r w:rsidRPr="00BC0B96">
        <w:rPr>
          <w:rFonts w:eastAsia="Calibri"/>
        </w:rPr>
        <w:t xml:space="preserve">um imaging data </w:t>
      </w:r>
      <w:r w:rsidR="2800AA38" w:rsidRPr="00BC0B96">
        <w:rPr>
          <w:rFonts w:eastAsia="Calibri"/>
        </w:rPr>
        <w:t xml:space="preserve">showed </w:t>
      </w:r>
      <w:r w:rsidRPr="00BC0B96">
        <w:rPr>
          <w:rFonts w:eastAsia="Calibri"/>
        </w:rPr>
        <w:t>that v</w:t>
      </w:r>
      <w:r w:rsidRPr="00BC0B96">
        <w:rPr>
          <w:rFonts w:ascii="Calibri" w:eastAsia="Calibri" w:hAnsi="Calibri" w:cs="Calibri"/>
        </w:rPr>
        <w:t>entral BNST neural activity increase</w:t>
      </w:r>
      <w:r w:rsidR="2800AA38" w:rsidRPr="00BC0B96">
        <w:rPr>
          <w:rFonts w:ascii="Calibri" w:eastAsia="Calibri" w:hAnsi="Calibri" w:cs="Calibri"/>
        </w:rPr>
        <w:t xml:space="preserve">d when focal mice </w:t>
      </w:r>
      <w:r w:rsidR="7B848A4F" w:rsidRPr="00BC0B96">
        <w:rPr>
          <w:rFonts w:ascii="Calibri" w:eastAsia="Calibri" w:hAnsi="Calibri" w:cs="Calibri"/>
        </w:rPr>
        <w:t>interacted with aggress</w:t>
      </w:r>
      <w:r w:rsidR="5A82C76C" w:rsidRPr="00BC0B96">
        <w:rPr>
          <w:rFonts w:ascii="Calibri" w:eastAsia="Calibri" w:hAnsi="Calibri" w:cs="Calibri"/>
        </w:rPr>
        <w:t>or</w:t>
      </w:r>
      <w:r w:rsidR="7B848A4F" w:rsidRPr="00BC0B96">
        <w:rPr>
          <w:rFonts w:ascii="Calibri" w:eastAsia="Calibri" w:hAnsi="Calibri" w:cs="Calibri"/>
        </w:rPr>
        <w:t xml:space="preserve"> target mice</w:t>
      </w:r>
      <w:r w:rsidR="5F679BEF" w:rsidRPr="00BC0B96">
        <w:rPr>
          <w:rFonts w:ascii="Calibri" w:eastAsia="Calibri" w:hAnsi="Calibri" w:cs="Calibri"/>
        </w:rPr>
        <w:t>,</w:t>
      </w:r>
      <w:r w:rsidR="7C803547" w:rsidRPr="00BC0B96">
        <w:rPr>
          <w:rFonts w:ascii="Calibri" w:eastAsia="Calibri" w:hAnsi="Calibri" w:cs="Calibri"/>
        </w:rPr>
        <w:t xml:space="preserve"> but </w:t>
      </w:r>
      <w:r w:rsidRPr="00BC0B96">
        <w:rPr>
          <w:rFonts w:ascii="Calibri" w:eastAsia="Calibri" w:hAnsi="Calibri" w:cs="Calibri"/>
        </w:rPr>
        <w:t>no</w:t>
      </w:r>
      <w:r w:rsidR="449A0929" w:rsidRPr="00BC0B96">
        <w:rPr>
          <w:rFonts w:ascii="Calibri" w:eastAsia="Calibri" w:hAnsi="Calibri" w:cs="Calibri"/>
        </w:rPr>
        <w:t xml:space="preserve"> changes were observed during </w:t>
      </w:r>
      <w:r w:rsidRPr="00BC0B96">
        <w:rPr>
          <w:rFonts w:ascii="Calibri" w:eastAsia="Calibri" w:hAnsi="Calibri" w:cs="Calibri"/>
        </w:rPr>
        <w:t>freezing</w:t>
      </w:r>
      <w:r w:rsidR="449A0929" w:rsidRPr="00BC0B96">
        <w:rPr>
          <w:rFonts w:ascii="Calibri" w:eastAsia="Calibri" w:hAnsi="Calibri" w:cs="Calibri"/>
        </w:rPr>
        <w:t>.</w:t>
      </w:r>
      <w:r w:rsidRPr="00BC0B96">
        <w:rPr>
          <w:rFonts w:ascii="Calibri" w:eastAsia="Calibri" w:hAnsi="Calibri" w:cs="Calibri"/>
        </w:rPr>
        <w:t xml:space="preserve"> </w:t>
      </w:r>
      <w:r w:rsidR="449A0929" w:rsidRPr="00BC0B96">
        <w:rPr>
          <w:rFonts w:ascii="Calibri" w:eastAsia="Calibri" w:hAnsi="Calibri" w:cs="Calibri"/>
        </w:rPr>
        <w:t>P</w:t>
      </w:r>
      <w:r w:rsidRPr="00BC0B96">
        <w:rPr>
          <w:rFonts w:ascii="Calibri" w:eastAsia="Calibri" w:hAnsi="Calibri" w:cs="Calibri"/>
        </w:rPr>
        <w:t xml:space="preserve">repubertal castration generalized </w:t>
      </w:r>
      <w:r w:rsidR="30A40BBC" w:rsidRPr="00BC0B96">
        <w:rPr>
          <w:rFonts w:ascii="Calibri" w:eastAsia="Calibri" w:hAnsi="Calibri" w:cs="Calibri"/>
        </w:rPr>
        <w:t xml:space="preserve">BNST </w:t>
      </w:r>
      <w:r w:rsidRPr="00BC0B96">
        <w:rPr>
          <w:rFonts w:ascii="Calibri" w:eastAsia="Calibri" w:hAnsi="Calibri" w:cs="Calibri"/>
        </w:rPr>
        <w:t>responses to</w:t>
      </w:r>
      <w:r w:rsidR="00D11BED" w:rsidRPr="00BC0B96">
        <w:rPr>
          <w:rFonts w:ascii="Calibri" w:eastAsia="Calibri" w:hAnsi="Calibri" w:cs="Calibri"/>
        </w:rPr>
        <w:t xml:space="preserve"> less threatening</w:t>
      </w:r>
      <w:r w:rsidRPr="00BC0B96">
        <w:rPr>
          <w:rFonts w:ascii="Calibri" w:eastAsia="Calibri" w:hAnsi="Calibri" w:cs="Calibri"/>
        </w:rPr>
        <w:t xml:space="preserve"> </w:t>
      </w:r>
      <w:r w:rsidR="5F679BEF" w:rsidRPr="00BC0B96">
        <w:rPr>
          <w:rFonts w:ascii="Calibri" w:eastAsia="Calibri" w:hAnsi="Calibri" w:cs="Calibri"/>
        </w:rPr>
        <w:t xml:space="preserve">social interactions with </w:t>
      </w:r>
      <w:r w:rsidR="00D11BED" w:rsidRPr="00BC0B96">
        <w:rPr>
          <w:rFonts w:ascii="Calibri" w:eastAsia="Calibri" w:hAnsi="Calibri" w:cs="Calibri"/>
        </w:rPr>
        <w:t>non-aggressive</w:t>
      </w:r>
      <w:r w:rsidR="00A72A59" w:rsidRPr="00BC0B96">
        <w:rPr>
          <w:rFonts w:ascii="Calibri" w:eastAsia="Calibri" w:hAnsi="Calibri" w:cs="Calibri"/>
        </w:rPr>
        <w:t xml:space="preserve"> mice</w:t>
      </w:r>
      <w:r w:rsidRPr="00BC0B96">
        <w:rPr>
          <w:rFonts w:ascii="Calibri" w:eastAsia="Calibri" w:hAnsi="Calibri" w:cs="Calibri"/>
        </w:rPr>
        <w:t>.</w:t>
      </w:r>
      <w:r w:rsidR="25DAE36D" w:rsidRPr="00BC0B96">
        <w:rPr>
          <w:rFonts w:ascii="Calibri" w:eastAsia="Calibri" w:hAnsi="Calibri" w:cs="Calibri"/>
        </w:rPr>
        <w:t xml:space="preserve"> </w:t>
      </w:r>
      <w:r w:rsidR="57AB1B5F" w:rsidRPr="00BC0B96">
        <w:rPr>
          <w:rFonts w:ascii="Calibri" w:eastAsia="Calibri" w:hAnsi="Calibri" w:cs="Calibri"/>
        </w:rPr>
        <w:t>These data inform current debates on BNST function</w:t>
      </w:r>
      <w:r w:rsidR="3717C856" w:rsidRPr="00BC0B96">
        <w:rPr>
          <w:rFonts w:ascii="Calibri" w:eastAsia="Calibri" w:hAnsi="Calibri" w:cs="Calibri"/>
        </w:rPr>
        <w:t xml:space="preserve"> </w:t>
      </w:r>
      <w:r w:rsidR="00F63FF9" w:rsidRPr="00BC0B96">
        <w:fldChar w:fldCharType="begin"/>
      </w:r>
      <w:r w:rsidR="00F63FF9" w:rsidRPr="00BC0B96">
        <w:instrText xml:space="preserve"> ADDIN ZOTERO_ITEM CSL_CITATION {"citationID":"qpunT7n7","properties":{"formattedCitation":"(60)","plainCitation":"(60)","noteIndex":0},"citationItems":[{"id":1801,"uris":["http://zotero.org/users/5661202/items/HNGUYNN6"],"itemData":{"id":1801,"type":"article-journal","container-title":"J. Neurosci.","page":"8050-8063","title":"Contributions of the central extended amygdala to fear and anxiety","volume":"36","author":[{"family":"Shackman","given":"A J"},{"family":"Fox","given":"A S"}],"issued":{"date-parts":[["2016"]]}}}],"schema":"https://github.com/citation-style-language/schema/raw/master/csl-citation.json"} </w:instrText>
      </w:r>
      <w:r w:rsidR="00F63FF9" w:rsidRPr="00BC0B96">
        <w:fldChar w:fldCharType="separate"/>
      </w:r>
      <w:r w:rsidR="3717C856" w:rsidRPr="00BC0B96">
        <w:rPr>
          <w:rFonts w:ascii="Calibri" w:hAnsi="Calibri" w:cs="Calibri"/>
          <w:sz w:val="24"/>
          <w:szCs w:val="24"/>
        </w:rPr>
        <w:t>(60)</w:t>
      </w:r>
      <w:r w:rsidR="00F63FF9" w:rsidRPr="00BC0B96">
        <w:fldChar w:fldCharType="end"/>
      </w:r>
      <w:r w:rsidR="57AB1B5F" w:rsidRPr="00BC0B96">
        <w:rPr>
          <w:rFonts w:ascii="Calibri" w:eastAsia="Calibri" w:hAnsi="Calibri" w:cs="Calibri"/>
        </w:rPr>
        <w:t xml:space="preserve"> and</w:t>
      </w:r>
      <w:r w:rsidR="6054F116" w:rsidRPr="00BC0B96">
        <w:rPr>
          <w:rFonts w:ascii="Calibri" w:eastAsia="Calibri" w:hAnsi="Calibri" w:cs="Calibri"/>
        </w:rPr>
        <w:t xml:space="preserve"> </w:t>
      </w:r>
      <w:r w:rsidR="479820AE" w:rsidRPr="00BC0B96">
        <w:rPr>
          <w:rFonts w:ascii="Calibri" w:eastAsia="Calibri" w:hAnsi="Calibri" w:cs="Calibri"/>
        </w:rPr>
        <w:t xml:space="preserve">are consistent with reports of </w:t>
      </w:r>
      <w:r w:rsidR="65E5C69F" w:rsidRPr="00BC0B96">
        <w:rPr>
          <w:rFonts w:ascii="Calibri" w:eastAsia="Calibri" w:hAnsi="Calibri" w:cs="Calibri"/>
        </w:rPr>
        <w:t xml:space="preserve">Increased reactivity of the BNST </w:t>
      </w:r>
      <w:r w:rsidR="4F5BEB02" w:rsidRPr="00BC0B96">
        <w:rPr>
          <w:rFonts w:ascii="Calibri" w:eastAsia="Calibri" w:hAnsi="Calibri" w:cs="Calibri"/>
        </w:rPr>
        <w:t>in humans diagnosed with anxiety</w:t>
      </w:r>
      <w:r w:rsidR="453A87A1" w:rsidRPr="00BC0B96">
        <w:rPr>
          <w:rFonts w:ascii="Calibri" w:eastAsia="Calibri" w:hAnsi="Calibri" w:cs="Calibri"/>
        </w:rPr>
        <w:t xml:space="preserve"> </w:t>
      </w:r>
      <w:r w:rsidR="3717C856" w:rsidRPr="00BC0B96">
        <w:rPr>
          <w:rFonts w:ascii="Calibri" w:eastAsia="Calibri" w:hAnsi="Calibri" w:cs="Calibri"/>
        </w:rPr>
        <w:t xml:space="preserve">disorders </w:t>
      </w:r>
      <w:r w:rsidR="00F63FF9" w:rsidRPr="00BC0B96">
        <w:rPr>
          <w:rFonts w:ascii="Calibri" w:eastAsia="Calibri" w:hAnsi="Calibri" w:cs="Calibri"/>
        </w:rPr>
        <w:fldChar w:fldCharType="begin"/>
      </w:r>
      <w:r w:rsidR="00F63FF9" w:rsidRPr="00BC0B96">
        <w:rPr>
          <w:rFonts w:ascii="Calibri" w:eastAsia="Calibri" w:hAnsi="Calibri" w:cs="Calibri"/>
        </w:rPr>
        <w:instrText xml:space="preserve"> ADDIN ZOTERO_ITEM CSL_CITATION {"citationID":"Y3dNGGQP","properties":{"formattedCitation":"(61)","plainCitation":"(61)","noteIndex":0},"citationItems":[{"id":7076,"uris":["http://zotero.org/users/5661202/items/KYX48RW8"],"itemData":{"id":7076,"type":"article-journal","abstract":"BACKGROUND: Anxiety disorders are highly prevalent and cause substantial suffering and impairment. Whereas the amygdala has well-established contributions to anxiety, evidence from rodent and nonhuman primate models suggests that the bed nucleus of the stria terminalis (BNST) may play a critical, and possibly distinct, role in human anxiety disorders. The BNST mediates hypervigilance and anticipatory anxiety in response to an unpredictable or ambiguous threat, core symptoms of social anxiety, yet little is known about the BNST's role in social anxiety.\nMETHODS: Functional magnetic resonance imaging was used to measure neural responses during a cued anticipation task with an unpredictable, predictable threat, and predictable neutral cues followed by threat or neutral images. Social anxiety was examined using a dimensional approach (N = 44 adults).\nRESULTS: For unpredictable cues, higher social anxiety was associated with lower BNST-amygdala connectivity. For unpredictable images, higher social anxiety was associated with greater connectivity between the BNST and both the ventromedial prefrontal cortex and the posterior cingulate cortex and lower connectivity between the BNST and postcentral gyrus. Social anxiety moderated the BNST-amygdala dissociation for unpredictable images; higher social anxiety was associated with BNST &gt; amygdala response to unpredictable threat relative to unpredictable neutral images.\nCONCLUSIONS: Social anxiety was associated with alterations in BNST responses to unpredictability, particularly in the BNST's interactions with other brain regions, including the amygdala and prefrontal cortex. To our knowledge, these findings provide the first evidence for the BNST's role in social anxiety, which may be a potential new target for prevention and intervention.","container-title":"Depression and Anxiety","DOI":"10.1002/da.22891","ISSN":"1520-6394","issue":"8","journalAbbreviation":"Depress Anxiety","language":"eng","note":"PMID: 30953446\nPMCID: PMC6679811","page":"666-675","source":"PubMed","title":"Social anxiety is associated with BNST response to unpredictability","volume":"36","author":[{"family":"Clauss","given":"Jacqueline A."},{"family":"Avery","given":"Suzanne N."},{"family":"Benningfield","given":"Margaret M."},{"family":"Blackford","given":"Jennifer U."}],"issued":{"date-parts":[["2019"]]}}}],"schema":"https://github.com/citation-style-language/schema/raw/master/csl-citation.json"} </w:instrText>
      </w:r>
      <w:r w:rsidR="00F63FF9" w:rsidRPr="00BC0B96">
        <w:rPr>
          <w:rFonts w:ascii="Calibri" w:eastAsia="Calibri" w:hAnsi="Calibri" w:cs="Calibri"/>
        </w:rPr>
        <w:fldChar w:fldCharType="separate"/>
      </w:r>
      <w:r w:rsidR="3717C856" w:rsidRPr="00BC0B96">
        <w:rPr>
          <w:rFonts w:ascii="Calibri" w:hAnsi="Calibri" w:cs="Calibri"/>
        </w:rPr>
        <w:t>(61)</w:t>
      </w:r>
      <w:r w:rsidR="00F63FF9" w:rsidRPr="00BC0B96">
        <w:rPr>
          <w:rFonts w:ascii="Calibri" w:eastAsia="Calibri" w:hAnsi="Calibri" w:cs="Calibri"/>
        </w:rPr>
        <w:fldChar w:fldCharType="end"/>
      </w:r>
      <w:r w:rsidR="5429CBCE" w:rsidRPr="00BC0B96">
        <w:rPr>
          <w:rFonts w:ascii="Calibri" w:eastAsia="Calibri" w:hAnsi="Calibri" w:cs="Calibri"/>
        </w:rPr>
        <w:t xml:space="preserve">. </w:t>
      </w:r>
      <w:r w:rsidR="3717C856" w:rsidRPr="00BC0B96">
        <w:rPr>
          <w:rFonts w:ascii="Calibri" w:eastAsia="Calibri" w:hAnsi="Calibri" w:cs="Calibri"/>
        </w:rPr>
        <w:t>O</w:t>
      </w:r>
      <w:r w:rsidRPr="00BC0B96">
        <w:rPr>
          <w:rFonts w:ascii="Calibri" w:eastAsia="Calibri" w:hAnsi="Calibri" w:cs="Calibri"/>
        </w:rPr>
        <w:t xml:space="preserve">ur findings </w:t>
      </w:r>
      <w:r w:rsidR="70183E0A" w:rsidRPr="00BC0B96">
        <w:rPr>
          <w:rFonts w:ascii="Calibri" w:eastAsia="Calibri" w:hAnsi="Calibri" w:cs="Calibri"/>
        </w:rPr>
        <w:t>show</w:t>
      </w:r>
      <w:r w:rsidRPr="00BC0B96">
        <w:rPr>
          <w:rFonts w:ascii="Calibri" w:eastAsia="Calibri" w:hAnsi="Calibri" w:cs="Calibri"/>
        </w:rPr>
        <w:t xml:space="preserve"> that androgens play an organizational role during puberty to attenuate behavioral and neural responses </w:t>
      </w:r>
      <w:r w:rsidR="38850F22" w:rsidRPr="00BC0B96">
        <w:rPr>
          <w:rFonts w:ascii="Calibri" w:eastAsia="Calibri" w:hAnsi="Calibri" w:cs="Calibri"/>
        </w:rPr>
        <w:t xml:space="preserve">of the BNST </w:t>
      </w:r>
      <w:r w:rsidRPr="00BC0B96">
        <w:rPr>
          <w:rFonts w:ascii="Calibri" w:eastAsia="Calibri" w:hAnsi="Calibri" w:cs="Calibri"/>
        </w:rPr>
        <w:t xml:space="preserve">to social stress in adulthood. </w:t>
      </w:r>
    </w:p>
    <w:p w14:paraId="26999470" w14:textId="40610F6A" w:rsidR="00F63FF9" w:rsidRPr="00BC0B96" w:rsidRDefault="00F63FF9" w:rsidP="00F63FF9">
      <w:pPr>
        <w:spacing w:line="360" w:lineRule="auto"/>
      </w:pPr>
      <w:r w:rsidRPr="00BC0B96">
        <w:rPr>
          <w:b/>
          <w:bCs/>
        </w:rPr>
        <w:t xml:space="preserve">BNST neurons respond to social </w:t>
      </w:r>
      <w:r w:rsidR="00A30DB7" w:rsidRPr="00BC0B96">
        <w:rPr>
          <w:b/>
          <w:bCs/>
        </w:rPr>
        <w:t>threat</w:t>
      </w:r>
      <w:r w:rsidRPr="00BC0B96">
        <w:t>. I</w:t>
      </w:r>
      <w:r w:rsidRPr="00BC0B96">
        <w:rPr>
          <w:rFonts w:ascii="Calibri" w:eastAsia="Calibri" w:hAnsi="Calibri" w:cs="Calibri"/>
        </w:rPr>
        <w:t xml:space="preserve">mmediate early gene analyses in rodents </w:t>
      </w:r>
      <w:r w:rsidRPr="00BC0B96">
        <w:rPr>
          <w:rFonts w:eastAsia="Calibri"/>
        </w:rPr>
        <w:fldChar w:fldCharType="begin"/>
      </w:r>
      <w:r w:rsidR="00741BAC" w:rsidRPr="00BC0B96">
        <w:rPr>
          <w:rFonts w:eastAsia="Calibri"/>
        </w:rPr>
        <w:instrText xml:space="preserve"> ADDIN ZOTERO_ITEM CSL_CITATION {"citationID":"NFr7jvYS","properties":{"formattedCitation":"(37, 62\\uc0\\u8211{}65)","plainCitation":"(37, 62–65)","noteIndex":0},"citationItems":[{"id":7019,"uris":["http://zotero.org/users/5661202/items/9TRSGP8G"],"itemData":{"id":7019,"type":"article-journal","abstract":"Background\nOxytocin (OT) is considered to be a stress-buffering hormone, dampening the physiologic effects of stress. However, OT can also be anxiogenic. We examined acute and long-lasting effects of social defeat on OT neurons in male and female California mice.\nMethods\nWe used immunohistochemistry for OT and c-fos cells to examine OT neuron activity immediately after defeat (n = 6–9) and 2 weeks (n = 6–9) and 10 weeks (n = 4–5) later. We quantified Oxt messenger RNA with quantitative polymerase chain reaction (n = 5–9). Intranasal OT was administered to naïve and stressed mice tested in social interaction and resident-intruder tests (n = 8–14).\nResults\nAcute exposure to a third episode of defeat increased OT/c-fos colocalizations in the paraventricular nucleus of both sexes. In the medioventral bed nucleus of the stria terminalis, defeat increased Oxt messenger RNA, total OT neurons, and OT/c-fos colocalizations in female mice but not male mice. Intranasal OT failed to reverse stress-induced social withdrawal in female mice and reduced social interaction behavior in female mice naïve to defeat. In contrast, intranasal OT increased social interaction in stressed male mice and reduced freezing in the resident-intruder test.\nConclusions\nSocial defeat induces long-lasting increases in OT production and OT/c-fos cells in the medioventral bed nucleus of the stria terminalis of female mice but not male mice. Intranasal OT largely reversed the effects of stress on behavior in male mice, but effects were mixed in female mice. These results suggest that changes in OT-sensitive networks contribute to sex differences in behavioral responses to stress.","collection-title":"Corticotropin-Releasing Factor, FKBP5, and Posttraumatic Stress Disorder","container-title":"Biological Psychiatry","DOI":"10.1016/j.biopsych.2015.10.007","ISSN":"0006-3223","issue":"5","journalAbbreviation":"Biological Psychiatry","page":"406-414","source":"ScienceDirect","title":"Sex-Specific Effects of Stress on Oxytocin Neurons Correspond With Responses to Intranasal Oxytocin","volume":"80","author":[{"family":"Steinman","given":"Michael Q."},{"family":"Duque-Wilckens","given":"Natalia"},{"family":"Greenberg","given":"Gian D."},{"family":"Hao","given":"Rebecca"},{"family":"Campi","given":"Katharine L."},{"family":"Laredo","given":"Sarah A."},{"family":"Laman-Maharg","given":"Abigail"},{"family":"Manning","given":"Claire E."},{"family":"Doig","given":"Ian E."},{"family":"Lopez","given":"Eduardo M."},{"family":"Walch","given":"Keenan"},{"family":"Bales","given":"Karen L."},{"family":"Trainor","given":"Brian C."}],"issued":{"date-parts":[["2016",9,1]]}}},{"id":6268,"uris":["http://zotero.org/users/5661202/items/NFWKJFHA"],"itemData":{"id":6268,"type":"article-journal","container-title":"Neuroscience","issue":"3","page":"721-736","title":"Mating and agonistic behavior produce different patters of Fos immunolabeling in the male Syrian hamster brain","volume":"66","author":[{"family":"Kollack-Walker","given":"S"},{"family":"Newman","given":"S W"}],"issued":{"date-parts":[["1995"]]}}},{"id":996,"uris":["http://zotero.org/users/5661202/items/NGWD4DNE"],"itemData":{"id":996,"type":"article-journal","container-title":"Endocrinology","DOI":"10.1210/en.2017-00606","issue":"2","note":"PMID: 29186377\nISBN: 1945-7170 (Electronic) 0013-7227 (Linking)","page":"763-775","title":"Oxytocin-Oxytocin Receptor Systems Facilitate Social Defeat Posture in Male Mice","volume":"159","author":[{"family":"Nasanbuyan","given":"N"},{"family":"Yoshida","given":"M"},{"family":"Takayanagi","given":"Y"},{"family":"Inutsuka","given":"A"},{"family":"Nishimori","given":"K"},{"family":"Yamanaka","given":"A"},{"family":"Onaka","given":"T"}],"issued":{"date-parts":[["2018"]]}}},{"id":7073,"uris":["http://zotero.org/users/5661202/items/PKGAGVBT"],"itemData":{"id":7073,"type":"article-journal","abstract":"BACKGROUND: Despite the twofold higher prevalence of major depressive and posttraumatic stress disorders in women compared with men, most clinical and preclinical studies have focused on male subjects. We used an ethological murine model to study several cardinal symptoms of affective disorders in the female targets of female aggression.\nMETHODS: Intact Swiss Webster (CFW) female resident mice were housed with castrated male mice and tested for aggression toward female intruders. For 10 days, aggressive CFW female residents defeated C57BL/6J (B6) female intruders during 5-minute encounters. Measures of corticosterone, c-Fos activation in hypothalamic and limbic structures, and species-typical behaviors were collected from defeated and control females. Ketamine (20 mg/kg) was tested for its potential to reverse stress-induced social deficits.\nRESULTS: Housed with a castrated male mouse, most intact resident CFW females readily attacked unfamiliar B6 female intruders, inflicting &gt;40 bites in a 5-minute encounter. Compared with controls, defeated B6 females exhibited elevated plasma corticosterone and increased c-Fos activation in the medial amygdala, ventral lateral septum, ventromedial hypothalamus, and hypothalamic paraventricular nucleus. Chronically defeated females also showed vigilance-like behavior and deficits in social interactions, novel object investigation, and nesting. The duration of social interactions increased 24 hours after chronically defeated female mice received a systemic dose of ketamine.\nCONCLUSIONS: These findings demonstrate that CFW female mice living with male conspecifics can be used as aggressive residents in an ethological model of female social defeat stress. These novel behavioral methods will encourage further studies of sex-specific neural, physiological, and behavioral adaptations to chronic stress and the biological bases for interfemale aggression.","container-title":"Biological Psychiatry","DOI":"10.1016/j.biopsych.2019.05.005","ISSN":"1873-2402","issue":"9","journalAbbreviation":"Biol. Psychiatry","language":"eng","note":"PMID: 31255250\nPMCID: PMC6788975","page":"657-668","source":"PubMed","title":"Fighting Females: Neural and Behavioral Consequences of Social Defeat Stress in Female Mice","title-short":"Fighting Females","volume":"86","author":[{"family":"Newman","given":"Emily L."},{"family":"Covington","given":"Herbert E."},{"family":"Suh","given":"Junghyup"},{"family":"Bicakci","given":"Matthew B."},{"family":"Ressler","given":"Kerry J."},{"family":"DeBold","given":"Joseph F."},{"family":"Miczek","given":"Klaus A."}],"issued":{"date-parts":[["2019",11,1]]}}},{"id":9629,"uris":["http://zotero.org/users/5661202/items/F77L6F3L"],"itemData":{"id":9629,"type":"article-journal","container-title":"European Journal of Neuroscience","DOI":"10.1046/j.1460-9568.1998.00011.x","ISSN":"0953-816X, 1460-9568","issue":"1","journalAbbreviation":"European Journal of Neuroscience","language":"en","page":"20-33","source":"DOI.org (Crossref)","title":"Adaptation in patterns of &lt;i&gt;c‐fos&lt;/i&gt; expression in the brain associated with exposure to either single or repeated social stress in male rats","volume":"10","author":[{"family":"Martinez","given":"Manuela"},{"family":"Phillips","given":"Peter J."},{"family":"Herbert","given":"Joe"}],"issued":{"date-parts":[["1998",1]]}}}],"schema":"https://github.com/citation-style-language/schema/raw/master/csl-citation.json"} </w:instrText>
      </w:r>
      <w:r w:rsidRPr="00BC0B96">
        <w:rPr>
          <w:rFonts w:eastAsia="Calibri"/>
        </w:rPr>
        <w:fldChar w:fldCharType="separate"/>
      </w:r>
      <w:r w:rsidR="00741BAC" w:rsidRPr="00BC0B96">
        <w:rPr>
          <w:rFonts w:ascii="Calibri" w:hAnsi="Calibri" w:cs="Calibri"/>
          <w:sz w:val="24"/>
          <w:szCs w:val="24"/>
        </w:rPr>
        <w:t>(37, 62–65)</w:t>
      </w:r>
      <w:r w:rsidRPr="00BC0B96">
        <w:rPr>
          <w:rFonts w:eastAsia="Calibri"/>
        </w:rPr>
        <w:fldChar w:fldCharType="end"/>
      </w:r>
      <w:r w:rsidRPr="00BC0B96">
        <w:rPr>
          <w:rFonts w:eastAsia="Calibri"/>
        </w:rPr>
        <w:t xml:space="preserve"> </w:t>
      </w:r>
      <w:r w:rsidRPr="00BC0B96">
        <w:rPr>
          <w:rFonts w:ascii="Calibri" w:eastAsia="Calibri" w:hAnsi="Calibri" w:cs="Calibri"/>
        </w:rPr>
        <w:t xml:space="preserve">and </w:t>
      </w:r>
      <w:r w:rsidRPr="00BC0B96">
        <w:rPr>
          <w:rFonts w:eastAsia="Calibri"/>
        </w:rPr>
        <w:t xml:space="preserve">neuroimaging work in primates </w:t>
      </w:r>
      <w:r w:rsidRPr="00BC0B96">
        <w:rPr>
          <w:rFonts w:eastAsia="Calibri"/>
        </w:rPr>
        <w:fldChar w:fldCharType="begin"/>
      </w:r>
      <w:r w:rsidR="00741BAC" w:rsidRPr="00BC0B96">
        <w:rPr>
          <w:rFonts w:eastAsia="Calibri"/>
        </w:rPr>
        <w:instrText xml:space="preserve"> ADDIN ZOTERO_ITEM CSL_CITATION {"citationID":"h7K1dH4p","properties":{"formattedCitation":"(66)","plainCitation":"(66)","noteIndex":0},"citationItems":[{"id":9637,"uris":["http://zotero.org/users/5661202/items/EWQ69L5K"],"itemData":{"id":9637,"type":"article-journal","abstract":"Significance\n            According to the World Health Organization, anxiety and depressive disorders are a leading source of disability, affecting hundreds of millions of people. Children can inherit an extremely anxious temperament, which is a prominent risk factor for the later development of anxiety, depression, and comorbid substance abuse. This study uses high-resolution functional and structural imaging in our well-established developmental nonhuman primate model to identify the heritable neural substrate that underlies extreme childhood anxious temperament. Using a large multigenerational family pedigree, genetic correlation analyses revealed a tripartite neural circuit where metabolism likely shares a genetic substrate with early-life dispositional anxiety. Interestingly, we found that brain function—not structure—is the critical intermediary between genetics and the childhood risk to develop stress-related psychopathology.\n          , \n            Understanding the heritability of neural systems linked to psychopathology is not sufficient to implicate them as intergenerational neural mediators. By closely examining how individual differences in neural phenotypes and psychopathology cosegregate as they fall through the family tree, we can identify the brain systems that underlie the parent-to-child transmission of psychopathology. Although research has identified genes and neural circuits that contribute to the risk of developing anxiety and depression, the specific neural systems that mediate the inborn risk for these debilitating disorders remain unknown. In a sample of 592 young rhesus monkeys that are part of an extended multigenerational pedigree, we demonstrate that metabolism within a tripartite prefrontal-limbic-midbrain circuit mediates some of the inborn risk for developing anxiety and depression. Importantly, although brain volume is highly heritable early in life, it is brain metabolism—not brain structure—that is the critical intermediary between genetics and the childhood risk to develop stress-related psychopathology.","container-title":"Proceedings of the National Academy of Sciences","DOI":"10.1073/pnas.1508593112","ISSN":"0027-8424, 1091-6490","issue":"29","journalAbbreviation":"Proc. Natl. Acad. Sci. U.S.A.","language":"en","page":"9118-9122","source":"DOI.org (Crossref)","title":"Intergenerational neural mediators of early-life anxious temperament","volume":"112","author":[{"family":"Fox","given":"Andrew S."},{"family":"Oler","given":"Jonathan A."},{"family":"Shackman","given":"Alexander J."},{"family":"Shelton","given":"Steven E."},{"family":"Raveendran","given":"Muthuswamy"},{"family":"McKay","given":"D. Reese"},{"family":"Converse","given":"Alexander K."},{"family":"Alexander","given":"Andrew"},{"family":"Davidson","given":"Richard J."},{"family":"Blangero","given":"John"},{"family":"Rogers","given":"Jeffrey"},{"family":"Kalin","given":"Ned H."}],"issued":{"date-parts":[["2015",7,21]]}}}],"schema":"https://github.com/citation-style-language/schema/raw/master/csl-citation.json"} </w:instrText>
      </w:r>
      <w:r w:rsidRPr="00BC0B96">
        <w:rPr>
          <w:rFonts w:eastAsia="Calibri"/>
        </w:rPr>
        <w:fldChar w:fldCharType="separate"/>
      </w:r>
      <w:r w:rsidR="00741BAC" w:rsidRPr="00BC0B96">
        <w:rPr>
          <w:rFonts w:ascii="Calibri" w:hAnsi="Calibri" w:cs="Calibri"/>
          <w:sz w:val="24"/>
        </w:rPr>
        <w:t>(66)</w:t>
      </w:r>
      <w:r w:rsidRPr="00BC0B96">
        <w:rPr>
          <w:rFonts w:eastAsia="Calibri"/>
        </w:rPr>
        <w:fldChar w:fldCharType="end"/>
      </w:r>
      <w:r w:rsidRPr="00BC0B96">
        <w:rPr>
          <w:rFonts w:eastAsia="Calibri"/>
        </w:rPr>
        <w:t xml:space="preserve"> and humans </w:t>
      </w:r>
      <w:r w:rsidRPr="00BC0B96">
        <w:rPr>
          <w:rFonts w:eastAsia="Calibri"/>
        </w:rPr>
        <w:fldChar w:fldCharType="begin"/>
      </w:r>
      <w:r w:rsidR="00563A6D" w:rsidRPr="00BC0B96">
        <w:rPr>
          <w:rFonts w:eastAsia="Calibri"/>
        </w:rPr>
        <w:instrText xml:space="preserve"> ADDIN ZOTERO_ITEM CSL_CITATION {"citationID":"Kivr8AzG","properties":{"formattedCitation":"(32)","plainCitation":"(32)","noteIndex":0},"citationItems":[{"id":9635,"uris":["http://zotero.org/users/5661202/items/V9QDTUZU"],"itemData":{"id":9635,"type":"article-journal","container-title":"Cerebral Cortex","DOI":"10.1093/cercor/bhr373","ISSN":"1460-2199, 1047-3211","issue":"1","language":"en","page":"49-60","source":"DOI.org (Crossref)","title":"Interactions Between Transient and Sustained Neural Signals Support the Generation and Regulation of Anxious Emotion","volume":"23","author":[{"family":"Somerville","given":"Leah H."},{"family":"Wagner","given":"Dylan D."},{"family":"Wig","given":"Gagan S."},{"family":"Moran","given":"Joseph M."},{"family":"Whalen","given":"Paul J."},{"family":"Kelley","given":"William M."}],"issued":{"date-parts":[["2013",1]]}}}],"schema":"https://github.com/citation-style-language/schema/raw/master/csl-citation.json"} </w:instrText>
      </w:r>
      <w:r w:rsidRPr="00BC0B96">
        <w:rPr>
          <w:rFonts w:eastAsia="Calibri"/>
        </w:rPr>
        <w:fldChar w:fldCharType="separate"/>
      </w:r>
      <w:r w:rsidR="00563A6D" w:rsidRPr="00BC0B96">
        <w:rPr>
          <w:rFonts w:ascii="Calibri" w:hAnsi="Calibri" w:cs="Calibri"/>
        </w:rPr>
        <w:t>(32)</w:t>
      </w:r>
      <w:r w:rsidRPr="00BC0B96">
        <w:rPr>
          <w:rFonts w:eastAsia="Calibri"/>
        </w:rPr>
        <w:fldChar w:fldCharType="end"/>
      </w:r>
      <w:r w:rsidRPr="00BC0B96">
        <w:rPr>
          <w:rFonts w:eastAsia="Calibri"/>
        </w:rPr>
        <w:t xml:space="preserve"> </w:t>
      </w:r>
      <w:r w:rsidRPr="00BC0B96">
        <w:rPr>
          <w:rFonts w:ascii="Calibri" w:eastAsia="Calibri" w:hAnsi="Calibri" w:cs="Calibri"/>
        </w:rPr>
        <w:t xml:space="preserve">show that </w:t>
      </w:r>
      <w:r w:rsidRPr="00BC0B96">
        <w:rPr>
          <w:rFonts w:eastAsia="Calibri"/>
        </w:rPr>
        <w:t xml:space="preserve">stressful social contexts increase neural activity within the BNST. However, these approaches have coarse temporal resolution, impeding the assessment of how threat proximity drives BNST responses. This is reflected in alternative hypotheses for BNST function. Early work suggested that the BNST encodes diffuse or remote threats </w:t>
      </w:r>
      <w:r w:rsidRPr="00BC0B96">
        <w:fldChar w:fldCharType="begin"/>
      </w:r>
      <w:r w:rsidR="00741BAC" w:rsidRPr="00BC0B96">
        <w:instrText xml:space="preserve"> ADDIN ZOTERO_ITEM CSL_CITATION {"citationID":"JwdvE4yw","properties":{"formattedCitation":"(67)","plainCitation":"(67)","noteIndex":0},"citationItems":[{"id":4831,"uris":["http://zotero.org/users/5661202/items/AGIEH3WF"],"itemData":{"id":4831,"type":"article-journal","container-title":"Neuropsychopharmacology","issue":"1","note":"publisher: American College of Neuropsychopharmacology\nISBN: 0893-133X","page":"105-135","title":"Phasic vs Sustained Fear in Rats and Humans: Role of the Extended Amygdala in Fear vs Anxiety","volume":"35","author":[{"family":"Davis","given":"Michael"},{"family":"Walker","given":"David L"},{"family":"Miles","given":"Leigh"},{"family":"Grillon","given":"Christian"}],"issued":{"date-parts":[["2010"]]}}}],"schema":"https://github.com/citation-style-language/schema/raw/master/csl-citation.json"} </w:instrText>
      </w:r>
      <w:r w:rsidRPr="00BC0B96">
        <w:fldChar w:fldCharType="separate"/>
      </w:r>
      <w:r w:rsidR="00741BAC" w:rsidRPr="00BC0B96">
        <w:rPr>
          <w:rFonts w:ascii="Calibri" w:hAnsi="Calibri" w:cs="Calibri"/>
          <w:sz w:val="24"/>
        </w:rPr>
        <w:t>(67)</w:t>
      </w:r>
      <w:r w:rsidRPr="00BC0B96">
        <w:fldChar w:fldCharType="end"/>
      </w:r>
      <w:r w:rsidRPr="00BC0B96">
        <w:t xml:space="preserve"> </w:t>
      </w:r>
      <w:r w:rsidRPr="00BC0B96">
        <w:rPr>
          <w:rFonts w:eastAsia="Calibri"/>
        </w:rPr>
        <w:t xml:space="preserve">while more recent work suggests that the BNST is highly </w:t>
      </w:r>
      <w:r w:rsidRPr="00BC0B96">
        <w:rPr>
          <w:rFonts w:eastAsia="Calibri"/>
        </w:rPr>
        <w:lastRenderedPageBreak/>
        <w:t>responsive to immediate threats</w:t>
      </w:r>
      <w:r w:rsidRPr="00BC0B96">
        <w:t xml:space="preserve"> </w:t>
      </w:r>
      <w:r w:rsidRPr="00BC0B96">
        <w:fldChar w:fldCharType="begin"/>
      </w:r>
      <w:r w:rsidR="00741BAC" w:rsidRPr="00BC0B96">
        <w:instrText xml:space="preserve"> ADDIN ZOTERO_ITEM CSL_CITATION {"citationID":"xfgVTC6x","properties":{"formattedCitation":"(60)","plainCitation":"(60)","noteIndex":0},"citationItems":[{"id":1801,"uris":["http://zotero.org/users/5661202/items/HNGUYNN6"],"itemData":{"id":1801,"type":"article-journal","container-title":"J. Neurosci.","page":"8050-8063","title":"Contributions of the central extended amygdala to fear and anxiety","volume":"36","author":[{"family":"Shackman","given":"A J"},{"family":"Fox","given":"A S"}],"issued":{"date-parts":[["2016"]]}}}],"schema":"https://github.com/citation-style-language/schema/raw/master/csl-citation.json"} </w:instrText>
      </w:r>
      <w:r w:rsidRPr="00BC0B96">
        <w:fldChar w:fldCharType="separate"/>
      </w:r>
      <w:r w:rsidR="00741BAC" w:rsidRPr="00BC0B96">
        <w:rPr>
          <w:rFonts w:ascii="Calibri" w:hAnsi="Calibri" w:cs="Calibri"/>
          <w:sz w:val="24"/>
        </w:rPr>
        <w:t>(60)</w:t>
      </w:r>
      <w:r w:rsidRPr="00BC0B96">
        <w:fldChar w:fldCharType="end"/>
      </w:r>
      <w:r w:rsidRPr="00BC0B96">
        <w:rPr>
          <w:rFonts w:eastAsia="Calibri"/>
        </w:rPr>
        <w:t xml:space="preserve">. Our calcium imaging data show that ventral BNST </w:t>
      </w:r>
      <w:r w:rsidRPr="00BC0B96">
        <w:rPr>
          <w:rFonts w:ascii="Calibri" w:eastAsia="Calibri" w:hAnsi="Calibri" w:cs="Calibri"/>
        </w:rPr>
        <w:t xml:space="preserve">calcium transients </w:t>
      </w:r>
      <w:r w:rsidR="00F868FE" w:rsidRPr="00BC0B96">
        <w:rPr>
          <w:rFonts w:ascii="Calibri" w:eastAsia="Calibri" w:hAnsi="Calibri" w:cs="Calibri"/>
        </w:rPr>
        <w:t xml:space="preserve">were reliably triggered </w:t>
      </w:r>
      <w:r w:rsidR="00F249BB" w:rsidRPr="00BC0B96">
        <w:rPr>
          <w:rFonts w:ascii="Calibri" w:eastAsia="Calibri" w:hAnsi="Calibri" w:cs="Calibri"/>
        </w:rPr>
        <w:t xml:space="preserve">when receiving aggressive attacks </w:t>
      </w:r>
      <w:r w:rsidRPr="00BC0B96">
        <w:rPr>
          <w:rFonts w:ascii="Calibri" w:eastAsia="Calibri" w:hAnsi="Calibri" w:cs="Calibri"/>
        </w:rPr>
        <w:t>while activity was no different from baseline during bouts of freezing or when aggressive target mice were more than 8 cm away from focal mice.</w:t>
      </w:r>
      <w:r w:rsidR="0006320D" w:rsidRPr="00BC0B96">
        <w:rPr>
          <w:rFonts w:ascii="Calibri" w:eastAsia="Calibri" w:hAnsi="Calibri" w:cs="Calibri"/>
        </w:rPr>
        <w:t xml:space="preserve"> </w:t>
      </w:r>
      <w:r w:rsidR="00557318" w:rsidRPr="00BC0B96">
        <w:rPr>
          <w:rFonts w:ascii="Calibri" w:eastAsia="Calibri" w:hAnsi="Calibri" w:cs="Calibri"/>
        </w:rPr>
        <w:t xml:space="preserve">Across both studies, our </w:t>
      </w:r>
      <w:r w:rsidRPr="00BC0B96">
        <w:rPr>
          <w:rFonts w:ascii="Calibri" w:eastAsia="Calibri" w:hAnsi="Calibri" w:cs="Calibri"/>
        </w:rPr>
        <w:t>results support the hypothesis that ventral BNST responds to immediate threats.</w:t>
      </w:r>
    </w:p>
    <w:p w14:paraId="6CE0579D" w14:textId="324E3C5B" w:rsidR="00F63FF9" w:rsidRPr="00BC0B96" w:rsidRDefault="00F63FF9" w:rsidP="00F63FF9">
      <w:pPr>
        <w:spacing w:line="360" w:lineRule="auto"/>
      </w:pPr>
      <w:r>
        <w:t xml:space="preserve">      Pre-pubertally castrated males</w:t>
      </w:r>
      <w:r w:rsidR="00D058CF">
        <w:t xml:space="preserve"> exposed to defeat</w:t>
      </w:r>
      <w:r>
        <w:t xml:space="preserve"> exhibited more freezing and heightened BNST calcium transients in the presence of </w:t>
      </w:r>
      <w:r w:rsidR="3C2A2BEA">
        <w:t>naïve target</w:t>
      </w:r>
      <w:r>
        <w:t xml:space="preserve"> mice. </w:t>
      </w:r>
      <w:r w:rsidR="00993EA5">
        <w:t>P</w:t>
      </w:r>
      <w:r>
        <w:t xml:space="preserve">re-pubertal castration </w:t>
      </w:r>
      <w:r w:rsidR="00993EA5">
        <w:t xml:space="preserve">also </w:t>
      </w:r>
      <w:r>
        <w:t>increased avoidance and social vigilance towards</w:t>
      </w:r>
      <w:r w:rsidR="3EECF980">
        <w:t xml:space="preserve"> novel naïve</w:t>
      </w:r>
      <w:r>
        <w:t xml:space="preserve"> target mice, similar to stressed adult females </w:t>
      </w:r>
      <w:r>
        <w:fldChar w:fldCharType="begin"/>
      </w:r>
      <w:r w:rsidR="00C327F5">
        <w:instrText xml:space="preserve"> ADDIN ZOTERO_ITEM CSL_CITATION {"citationID":"KdrlSIOR","properties":{"formattedCitation":"(43, 68)","plainCitation":"(43, 68)","noteIndex":0},"citationItems":[{"id":"dX9booob/6UuRvWMt","uris":["http://zotero.org/users/local/0DUDweI1/items/TUWL3VJ6"],"itemData":{"id":"MqcPsKot/u4Ge43El","type":"article-journal","title":"Sex differences in stress-induced social withdrawal: independence from adult gonadal hormones and inhibition of female phenotype by corncob bedding","container-title":"Hormones and Behavior","page":"543-550","volume":"63","issue":"3","source":"PMC","abstract":"There is compelling evidence for important sex differences in behavioral and hormonal responses to psychosocial stress. Here we examined the effects of gonadal hormones on behavioral responses to social defeat stress in monogamous California mice (Peromyscus californicus). Three episodes of social defeat induced social withdrawal in intact females but not males. Gonadectomy blocked corticosterone responses to defeat in females and sensitized male corticosterone responses. However, gonadectomy had no effects on social interaction behavior, suggesting that social withdrawal is not dependent on gonadal hormones in the adult California mouse. In contrast, defeat reduced exploratory behavior in the open field test for intact but not castrated males. We also examined the effects of social defeat on social interaction behavior when California mice were raised on corncob bedding, which has estrogenic properties. In this dataset of over 300 mice, we observed that social defeat did not induce social withdrawal when females were raised on corncob bedding. This finding suggests that the use of corncob in rodent studies could mask important sex differences in the effects of stress on brain and behavior. Although gonadal hormones do not affect social withdrawal behavior in adults, our data suggest that hormones may act earlier in development to induce a more resilient social phenotype.","DOI":"10.1016/j.yhbeh.2013.01.011","ISSN":"0018-506X 1095-6867","author":[{"family":"Trainor","given":"Brian C."},{"family":"Takahashi","given":"Elizabeth Y."},{"family":"Campi","given":"Katharine L."},{"family":"Florez","given":"Stefani A."},{"family":"Greenberg","given":"Gian D."},{"family":"Laman-Maharg","given":"Abigail"},{"family":"Laredo","given":"Sarah A."},{"family":"Orr","given":"Veronica N."},{"family":"Silva","given":"Andrea L."},{"family":"Steinman","given":"Michael Q."}],"issued":{"date-parts":[["2013"]],"season":"04"}}},{"id":1442,"uris":["http://zotero.org/users/5661202/items/ZNGNGDLL"],"itemData":{"id":1442,"type":"article-journal","abstract":"? 2014 Elsevier Ltd.Vasopressin signaling has important effects on the regulation of social behaviors and stress responses, and is considered a promising pathway to target for new therapeutics of stress-induced psychiatric disorders. Although there is evidence for sex differences in the behavioral effects of arginine vasopressin (AVP), few data have directly compared the effects of stress on endogenous AVP signaling in males and females. We used California mice (. Peromyscus californicus) to study the short and long term effects of social defeat stress on AVP immunoreactive cells in the paraventricular nucleus (PVN) and the posteromedial bed nucleus of the stria terminalis (BNSTmp). Acute exposure to defeat increased AVP/c-fos cells in the PVN and SON of both males and females. In contrast, there were sex differences in the long term effects of defeat. Males but not females exposed to defeat had less avp mRNA in the PVN, and in two experiments defeat reduced the number of AVP positive cells in the caudal PVN of males but not females. Interestingly, during relatively benign social encounters with a target mouse, there was a rapid decrease in AVP percent staining (including cell bodies and fibers) in the PVN of males but not females. Defeat reduced AVP percent staining in males, but did not block the socially induced decrease in percent staining. When mice were tested in resident-intruder tests, males exposed to defeat were no less aggressive than control males whereas aggression was abolished in females. However, bouts of aggression were positively correlated with the number of AVP neurons in the BNSTmp of control males but not stressed males, suggesting that different mechanisms mediate aggression in control and stressed males. These data show that while acute AVP responses to defeat are similar in males and females, the long term effects of defeat on AVP are stronger in males.","container-title":"Psychoneuroendocrinology","DOI":"10.1016/j.psyneuen.2014.09.009","ISSN":"18733360 03064530","title":"Hypothalamic vasopressin systems are more sensitive to the long term effects of social defeat in males versus females","volume":"51","author":[{"family":"Steinman","given":"M.Q."},{"family":"Laredo","given":"S.A."},{"family":"Lopez","given":"E.M."},{"family":"Manning","given":"C.E."},{"family":"Hao","given":"R.C."},{"family":"Doig","given":"I.E."},{"family":"Campi","given":"K.L."},{"family":"Flowers","given":"A.E."},{"family":"Knight","given":"J.K."},{"family":"Trainor","given":"B.C."}],"issued":{"date-parts":[["2015"]]}}}],"schema":"https://github.com/citation-style-language/schema/raw/master/csl-citation.json"} </w:instrText>
      </w:r>
      <w:r>
        <w:fldChar w:fldCharType="separate"/>
      </w:r>
      <w:r w:rsidR="001F2191" w:rsidRPr="3865CA10">
        <w:rPr>
          <w:rFonts w:ascii="Calibri" w:hAnsi="Calibri" w:cs="Calibri"/>
          <w:sz w:val="24"/>
          <w:szCs w:val="24"/>
        </w:rPr>
        <w:t>(43, 68)</w:t>
      </w:r>
      <w:r>
        <w:fldChar w:fldCharType="end"/>
      </w:r>
      <w:r>
        <w:t>. Th</w:t>
      </w:r>
      <w:r w:rsidR="00357E67">
        <w:t xml:space="preserve">ese data suggest that </w:t>
      </w:r>
      <w:r>
        <w:t xml:space="preserve">male gonadal hormones </w:t>
      </w:r>
      <w:r w:rsidR="008E6463">
        <w:t xml:space="preserve">act </w:t>
      </w:r>
      <w:r>
        <w:t xml:space="preserve">during puberty </w:t>
      </w:r>
      <w:r w:rsidR="008E6463">
        <w:t xml:space="preserve">to </w:t>
      </w:r>
      <w:r w:rsidR="00F4669B">
        <w:t xml:space="preserve">reduce negative </w:t>
      </w:r>
      <w:r>
        <w:t>valence assessment</w:t>
      </w:r>
      <w:r w:rsidR="00F4669B">
        <w:t>s</w:t>
      </w:r>
      <w:r>
        <w:t xml:space="preserve"> of novel social contexts</w:t>
      </w:r>
      <w:r w:rsidR="001763F4">
        <w:t xml:space="preserve">, an important </w:t>
      </w:r>
      <w:r w:rsidR="006D403D">
        <w:t>function of the BNST</w:t>
      </w:r>
      <w:r>
        <w:t xml:space="preserve"> </w:t>
      </w:r>
      <w:r>
        <w:fldChar w:fldCharType="begin"/>
      </w:r>
      <w:r>
        <w:instrText xml:space="preserve"> ADDIN ZOTERO_ITEM CSL_CITATION {"citationID":"oXqgRNaF","properties":{"formattedCitation":"(69, 70)","plainCitation":"(69, 70)","noteIndex":0},"citationItems":[{"id":8777,"uris":["http://zotero.org/users/5661202/items/ZQ4UK9W5"],"itemData":{"id":8777,"type":"article-journal","abstract":"The bed nucleus of the stria terminalis (BNST) is a sexually dimorphic, neuropeptide-rich node of the extended amygdala that has been implicated in responses to stress, drugs of abuse, and natural rewards. Its function is dysregulated in neuropsychiatric disorders that are characterized by stress- or drug-induced alterations in mood, arousal, motivation, and social behavior. However, compared to the BNST’s role in mood, arousal, and motivation, its role in social behavior has remained relatively understudied. Moreover, the precise cell types and circuits underlying the BNST’s role in social behavior have only recently begun to be explored using modern neuroscience techniques. Here, we systematically review the existing literature investigating the neurobiological substrates within the BNST that contribute to the coordination of various sex-dependent and sex-independent social behavioral repertoires, focusing largely on pharmacological and circuit-based behavioral studies in rodents. We suggest that the BNST coordinates social behavior by promoting appropriate assessment of social contexts to select relevant behavioral outputs and that disruption of socially relevant BNST systems by stress and drugs of abuse may be an important factor in the development of social dysfunction in neuropsychiatric disorders.","container-title":"European Journal of Neuroscience","DOI":"10.1111/ejn.14991","ISSN":"1460-9568","language":"en","note":"_eprint: https://onlinelibrary.wiley.com/doi/pdf/10.1111/ejn.14991","page":"2404-2420","source":"Wiley Online Library","title":"Coordination of social behaviors by the bed nucleus of the stria terminalis","volume":"55","author":[{"family":"Flanigan","given":"Meghan E."},{"family":"Kash","given":"Thomas L."}],"issued":{"date-parts":[["2020"]]}}},{"id":7022,"uris":["http://zotero.org/users/5661202/items/L4TMUKK7"],"itemData":{"id":7022,"type":"article-journal","abstract":"The bed nucleus of the stria terminalis (BNST) is a center of integration for limbic information and valence monitoring. The BNST, sometimes referred to as the extended amygdala, is located in the basal forebrain and is a sexually dimorphic structure made up of between 12 and 18 sub-nuclei. These sub-nuclei are rich with distinct neuronal subpopulations of receptors, neurotransmitters, transporters and proteins. The BNST is important in a range of behaviors such as: the stress response, extended duration fear states and social behavior, all crucial determinants of dysfunction in human psychiatric diseases. Most research on stress and psychiatric diseases has focused on the amygdala, which regulates immediate responses to fear. However, the BNST, and not the amygdala, is the center of the psychogenic circuit from the hippocampus to the paraventricular nucleus. This circuit is important in the stimulation of the hypothalamic–pituitary–adrenal axis. Thus, the BNST has been largely overlooked with respect to its possible dysregulation in mood and anxiety disorders, social dysfunction and psychological trauma, all of which have clear gender disparities. In this review, we will look in-depth at the anatomy and projections of the BNST, and provide an overview of the current literature on the relevance of BNST dysregulation in psychiatric diseases.","container-title":"Molecular Psychiatry","DOI":"10.1038/mp.2016.1","ISSN":"1359-4184","issue":"4","journalAbbreviation":"Mol Psychiatry","language":"en","page":"450-463","source":"www.nature.com","title":"Overshadowed by the amygdala: the bed nucleus of the stria terminalis emerges as key to psychiatric disorders","title-short":"Overshadowed by the amygdala","volume":"21","author":[{"family":"Lebow","given":"M. A."},{"family":"Chen","given":"A."}],"issued":{"date-parts":[["2016",4]]}}}],"schema":"https://github.com/citation-style-language/schema/raw/master/csl-citation.json"} </w:instrText>
      </w:r>
      <w:r>
        <w:fldChar w:fldCharType="separate"/>
      </w:r>
      <w:r w:rsidR="001F2191" w:rsidRPr="3865CA10">
        <w:rPr>
          <w:rFonts w:ascii="Calibri" w:hAnsi="Calibri" w:cs="Calibri"/>
          <w:sz w:val="24"/>
          <w:szCs w:val="24"/>
        </w:rPr>
        <w:t>(69, 70)</w:t>
      </w:r>
      <w:r>
        <w:fldChar w:fldCharType="end"/>
      </w:r>
      <w:r w:rsidR="00F4669B">
        <w:t xml:space="preserve">. </w:t>
      </w:r>
      <w:r w:rsidR="008E6463">
        <w:t xml:space="preserve"> </w:t>
      </w:r>
      <w:r w:rsidR="00326722">
        <w:t>Thus androgens may impede o</w:t>
      </w:r>
      <w:r>
        <w:t>ver-generalization of threat,</w:t>
      </w:r>
      <w:r w:rsidR="00326722">
        <w:t xml:space="preserve"> which</w:t>
      </w:r>
      <w:r>
        <w:t xml:space="preserve"> </w:t>
      </w:r>
      <w:r w:rsidR="008C31C8">
        <w:t>i</w:t>
      </w:r>
      <w:r>
        <w:t xml:space="preserve">s a key characteristic of anxiety disorders </w:t>
      </w:r>
      <w:r>
        <w:fldChar w:fldCharType="begin"/>
      </w:r>
      <w:r>
        <w:instrText xml:space="preserve"> ADDIN ZOTERO_ITEM CSL_CITATION {"citationID":"KHX8XomH","properties":{"formattedCitation":"(71)","plainCitation":"(71)","noteIndex":0},"citationItems":[{"id":9632,"uris":["http://zotero.org/users/5661202/items/86TP9CUR"],"itemData":{"id":9632,"type":"article-journal","container-title":"Behaviour Research and Therapy","DOI":"10.1016/j.brat.2004.10.007","ISSN":"00057967","issue":"11","journalAbbreviation":"Behaviour Research and Therapy","language":"en","page":"1391-1424","source":"DOI.org (Crossref)","title":"Classical fear conditioning in the anxiety disorders: a meta-analysis","title-short":"Classical fear conditioning in the anxiety disorders","volume":"43","author":[{"family":"Lissek","given":"Shmuel"},{"family":"Powers","given":"Alice S."},{"family":"McClure","given":"Erin B."},{"family":"Phelps","given":"Elizabeth A."},{"family":"Woldehawariat","given":"Girma"},{"family":"Grillon","given":"Christian"},{"family":"Pine","given":"Daniel S."}],"issued":{"date-parts":[["2005",11]]}}}],"schema":"https://github.com/citation-style-language/schema/raw/master/csl-citation.json"} </w:instrText>
      </w:r>
      <w:r>
        <w:fldChar w:fldCharType="separate"/>
      </w:r>
      <w:r w:rsidR="001F2191" w:rsidRPr="3865CA10">
        <w:rPr>
          <w:rFonts w:ascii="Calibri" w:hAnsi="Calibri" w:cs="Calibri"/>
          <w:sz w:val="24"/>
          <w:szCs w:val="24"/>
        </w:rPr>
        <w:t>(71)</w:t>
      </w:r>
      <w:r>
        <w:fldChar w:fldCharType="end"/>
      </w:r>
      <w:r>
        <w:t xml:space="preserve">. Our results align with imaging studies in nonhuman primates </w:t>
      </w:r>
      <w:r>
        <w:fldChar w:fldCharType="begin"/>
      </w:r>
      <w:r>
        <w:instrText xml:space="preserve"> ADDIN ZOTERO_ITEM CSL_CITATION {"citationID":"86a6DyG8","properties":{"formattedCitation":"(72)","plainCitation":"(72)","noteIndex":0},"citationItems":[{"id":6510,"uris":["http://zotero.org/users/5661202/items/HM8MJIUT"],"itemData":{"id":6510,"type":"article-journal","abstract":"Early theorists (Freud and Darwin) speculated that extremely shy children, or those with anxious temperament, were likely to have anxiety problems as adults. More recent studies demonstrate that these children have heightened responses to potentially threatening situations reacting with intense defensive responses that are characterized by behavioral inhibition (BI) (inhibited motor behavior and decreased vocalizations) and physiological arousal. Confirming the earlier impressions, data now demonstrate that children with this disposition are at increased risk to develop anxiety, depression, and comorbid substance abuse. Additional key features of anxious temperament are that it appears at a young age, it is a stable characteristic of individuals, and even in non-threatening environments it is associated with increased psychic anxiety and somatic tension. To understand the neural underpinnings of anxious temperament, we performed imaging studies with 18-fluoro-deoxyglucose (FDG) high-resolution Positron Emission Tomography (PET) in young rhesus monkeys. Rhesus monkeys were used because they provide a well validated model of anxious temperament for studies that cannot be performed in human children. Imaging the same animal in stressful and secure contexts, we examined the relation between regional metabolic brain activity and a trait-like measure of anxious temperament that encompasses measures of BI and pituitary-adrenal reactivity. Regardless of context, results demonstrated a trait-like pattern of brain activity (amygdala, bed nucleus of stria terminalis, hippocampus, and periaqueductal gray) that is predictive of individual phenotypic differences. Importantly, individuals with extreme anxious temperament also displayed increased activity of this circuit when assessed in the security of their home environment. These findings suggest that increased activity of this circuit early in life mediates the childhood temperamental risk to develop anxiety and depression. In addition, the findings provide an explanation for why individuals with anxious temperament have difficulty relaxing in environments that others perceive as non-stressful.","container-title":"PLOS ONE","DOI":"10.1371/journal.pone.0002570","ISSN":"1932-6203","issue":"7","journalAbbreviation":"PLOS ONE","language":"en","page":"e2570","source":"PLoS Journals","title":"Trait-Like Brain Activity during Adolescence Predicts Anxious Temperament in Primates","volume":"3","author":[{"family":"Fox","given":"Andrew S."},{"family":"Shelton","given":"Steven E."},{"family":"Oakes","given":"Terrence R."},{"family":"Davidson","given":"Richard J."},{"family":"Kalin","given":"Ned H."}],"issued":{"date-parts":[["2008",7,2]]}}}],"schema":"https://github.com/citation-style-language/schema/raw/master/csl-citation.json"} </w:instrText>
      </w:r>
      <w:r>
        <w:fldChar w:fldCharType="separate"/>
      </w:r>
      <w:r w:rsidR="001F2191" w:rsidRPr="3865CA10">
        <w:rPr>
          <w:rFonts w:ascii="Calibri" w:hAnsi="Calibri" w:cs="Calibri"/>
          <w:sz w:val="24"/>
          <w:szCs w:val="24"/>
        </w:rPr>
        <w:t>(72)</w:t>
      </w:r>
      <w:r>
        <w:fldChar w:fldCharType="end"/>
      </w:r>
      <w:r>
        <w:t xml:space="preserve"> and humans </w:t>
      </w:r>
      <w:r>
        <w:fldChar w:fldCharType="begin"/>
      </w:r>
      <w:r>
        <w:instrText xml:space="preserve"> ADDIN ZOTERO_ITEM CSL_CITATION {"citationID":"7zJAyOQG","properties":{"formattedCitation":"(61)","plainCitation":"(61)","noteIndex":0},"citationItems":[{"id":7076,"uris":["http://zotero.org/users/5661202/items/KYX48RW8"],"itemData":{"id":7076,"type":"article-journal","abstract":"BACKGROUND: Anxiety disorders are highly prevalent and cause substantial suffering and impairment. Whereas the amygdala has well-established contributions to anxiety, evidence from rodent and nonhuman primate models suggests that the bed nucleus of the stria terminalis (BNST) may play a critical, and possibly distinct, role in human anxiety disorders. The BNST mediates hypervigilance and anticipatory anxiety in response to an unpredictable or ambiguous threat, core symptoms of social anxiety, yet little is known about the BNST's role in social anxiety.\nMETHODS: Functional magnetic resonance imaging was used to measure neural responses during a cued anticipation task with an unpredictable, predictable threat, and predictable neutral cues followed by threat or neutral images. Social anxiety was examined using a dimensional approach (N = 44 adults).\nRESULTS: For unpredictable cues, higher social anxiety was associated with lower BNST-amygdala connectivity. For unpredictable images, higher social anxiety was associated with greater connectivity between the BNST and both the ventromedial prefrontal cortex and the posterior cingulate cortex and lower connectivity between the BNST and postcentral gyrus. Social anxiety moderated the BNST-amygdala dissociation for unpredictable images; higher social anxiety was associated with BNST &gt; amygdala response to unpredictable threat relative to unpredictable neutral images.\nCONCLUSIONS: Social anxiety was associated with alterations in BNST responses to unpredictability, particularly in the BNST's interactions with other brain regions, including the amygdala and prefrontal cortex. To our knowledge, these findings provide the first evidence for the BNST's role in social anxiety, which may be a potential new target for prevention and intervention.","container-title":"Depression and Anxiety","DOI":"10.1002/da.22891","ISSN":"1520-6394","issue":"8","journalAbbreviation":"Depress Anxiety","language":"eng","note":"PMID: 30953446\nPMCID: PMC6679811","page":"666-675","source":"PubMed","title":"Social anxiety is associated with BNST response to unpredictability","volume":"36","author":[{"family":"Clauss","given":"Jacqueline A."},{"family":"Avery","given":"Suzanne N."},{"family":"Benningfield","given":"Margaret M."},{"family":"Blackford","given":"Jennifer U."}],"issued":{"date-parts":[["2019"]]}}}],"schema":"https://github.com/citation-style-language/schema/raw/master/csl-citation.json"} </w:instrText>
      </w:r>
      <w:r>
        <w:fldChar w:fldCharType="separate"/>
      </w:r>
      <w:r w:rsidR="00741BAC" w:rsidRPr="3865CA10">
        <w:rPr>
          <w:rFonts w:ascii="Calibri" w:hAnsi="Calibri" w:cs="Calibri"/>
          <w:sz w:val="24"/>
          <w:szCs w:val="24"/>
        </w:rPr>
        <w:t>(61)</w:t>
      </w:r>
      <w:r>
        <w:fldChar w:fldCharType="end"/>
      </w:r>
      <w:r>
        <w:t xml:space="preserve"> reporting stronger BNST responses in individuals with elevated anxiety-related behaviors. Intriguingly, androgens can reduce neuronal excitability in both adult </w:t>
      </w:r>
      <w:r>
        <w:fldChar w:fldCharType="begin"/>
      </w:r>
      <w:r>
        <w:instrText xml:space="preserve"> ADDIN ZOTERO_ITEM CSL_CITATION {"citationID":"35H5dIUq","properties":{"formattedCitation":"(73)","plainCitation":"(73)","noteIndex":0},"citationItems":[{"id":6916,"uris":["http://zotero.org/users/5661202/items/K9LKSEN5"],"itemData":{"id":6916,"type":"article-journal","abstract":"BACKGROUND: Depression affects women nearly twice as often as men, but the neurobiological underpinnings of this discrepancy are unclear. Preclinical studies in male mice suggest that activity of ventral hippocampus (vHPC) neurons projecting to the nucleus accumbens (NAc) regulates mood-related behavioral responses to stress. We sought to characterize this circuit in both sexes and to investigate its role in potential sex differences in models of depression.\nMETHODS: We used male and female adult C57BL/6J mice in the subchronic variable stress model to precipitate female-specific reduction in sucrose preference and performed gonadectomies to test the contributions of gonadal hormones to this stress response. In addition, ex vivo slice electrophysiology of transgenic Cre-inducible Rosa-eGFP-L10a mice in combination with retrograde viral tracing to identify circuits was used to test contributions of gonadal hormones to sex differences in vHPC afferents. Finally, we used an intersecting viral DREADD (designer receptor exclusively activated by designer drugs) strategy to manipulate vHPC-NAc excitability directly in awake behaving mice.\nRESULTS: We show a testosterone-dependent lower excitability in male versus female vHPC-NAc neurons and corresponding testosterone-dependent male resilience to reduced sucrose preference after subchronic variable stress. Importantly, we show that long-term DREADD stimulation of vHPC-NAc neurons causes decreased sucrose preference in male mice after subchronic variable stress, whereas DREADD inhibition of this circuit prevents this effect in female mice.\nCONCLUSIONS: We demonstrate a circuit-specific sex difference in vHPC-NAc neurons that is dependent on testosterone and causes susceptibility to stress in female mice. These data provide a substantive mechanism linking gonadal hormones to cellular excitability and anhedonia-a key feature in depressive states.","container-title":"Biological Psychiatry","DOI":"10.1016/j.biopsych.2019.08.006","ISSN":"1873-2402","issue":"6","journalAbbreviation":"Biol. Psychiatry","language":"eng","note":"PMID: 31601425\nPMCID: PMC7035179","page":"492-501","source":"PubMed","title":"Androgen-Dependent Excitability of Mouse Ventral Hippocampal Afferents to Nucleus Accumbens Underlies Sex-Specific Susceptibility to Stress","volume":"87","author":[{"family":"Williams","given":"Elizabeth S."},{"family":"Manning","given":"Claire E."},{"family":"Eagle","given":"Andrew L."},{"family":"Swift-Gallant","given":"Ashlyn"},{"family":"Duque-Wilckens","given":"Natalia"},{"family":"Chinnusamy","given":"Sadhana"},{"family":"Moeser","given":"Adam"},{"family":"Jordan","given":"Cynthia"},{"family":"Leinninger","given":"Gina"},{"family":"Robison","given":"Alfred Jay"}],"issued":{"date-parts":[["2020",3,15]]}}}],"schema":"https://github.com/citation-style-language/schema/raw/master/csl-citation.json"} </w:instrText>
      </w:r>
      <w:r>
        <w:fldChar w:fldCharType="separate"/>
      </w:r>
      <w:r w:rsidR="00C956A6" w:rsidRPr="3865CA10">
        <w:rPr>
          <w:rFonts w:ascii="Calibri" w:hAnsi="Calibri" w:cs="Calibri"/>
          <w:sz w:val="24"/>
          <w:szCs w:val="24"/>
        </w:rPr>
        <w:t>(73)</w:t>
      </w:r>
      <w:r>
        <w:fldChar w:fldCharType="end"/>
      </w:r>
      <w:r>
        <w:t xml:space="preserve"> and pubertal rodents </w:t>
      </w:r>
      <w:r>
        <w:fldChar w:fldCharType="begin"/>
      </w:r>
      <w:r w:rsidR="00C327F5">
        <w:instrText xml:space="preserve"> ADDIN ZOTERO_ITEM CSL_CITATION {"citationID":"pSbb1qRH","properties":{"formattedCitation":"(74\\uc0\\u8211{}76)","plainCitation":"(74–76)","noteIndex":0},"citationItems":[{"id":"dX9booob/W1MvQ2lg","uris":["http://zotero.org/users/local/0DUDweI1/items/ETRUDSS3"],"itemData":{"id":1797,"type":"article-journal","abstract":"Estrogen has been reported to enhance CA1 functional plasticity in adult rats, as measured by the induction of long-term potentiation (LTP). In the present study, the effects of androgens on CA1 LTP were assessed in adult male Sprague-Dawley rats in vivo following peripubertal castration. Castrated rats with cholesterol implants showed significantly greater plasticity, both in degree and duration of potentiation, than castrated rats given testosterone or dihydrotestosterone implants. An LTP paradigm reported to produce decremental LTP in vitro produced nondecremental LTP in androgen-deprived rats, but decremental LTP in androgen-treated rats. These results suggest that androgens, unlike estrogens, act to reduce CA1 plasticity in the adult rat.","container-title":"Hippocampus","DOI":"10.1002/1098-1063(2000)10:6&lt;693::AID-HIPO1007&gt;3.0.CO;2-G","ISSN":"1050-9631","issue":"6","journalAbbreviation":"Hippocampus","language":"eng","note":"PMID: 11153715","page":"693-697","source":"PubMed","title":"Testosterone decreases CA1 plasticity in vivo in gonadectomized male rats","volume":"10","author":[{"family":"Harley","given":"C. W."},{"family":"Malsbury","given":"C. W."},{"family":"Squires","given":"A."},{"family":"Brown","given":"R. A."}],"issued":{"date-parts":[["2000"]]}}},{"id":"dX9booob/J88n7tEJ","uris":["http://zotero.org/users/local/0DUDweI1/items/INE2L994"],"itemData":{"id":1799,"type":"article-journal","abstract":"The organizational role of pubertal androgen receptor (AR) activation in synaptic plasticity in hippocampal CA1 and in social memory was assessed. Earlier data suggest pubertal testosterone reduces adult hippocampal synaptic plasticity. Four groups were created following gonadectomy at the onset of puberty: rats given testosterone; rats given testosterone but with the AR antagonist flutamide, present during puberty; rats given testosterone at the end of puberty; and rats given cholesterol at the end of puberty. A tetanus normally inducing long-term potentiation (LTP) was used to stimulate CA1 in the urethane-anesthetized adults during the dark phase of their cycle. Social memory was assessed prior to electrophysiology. Social memory for a juvenile rat at 120 min was seen only in rats not exposed to AR activation during puberty. Pubertal AR activation may induce the reduced social memory of male rats. Early CA1 LTP occurred following tetanus in rats with no pubertal testosterone. Short-term potentiation occurred in rats exposed to pubertal testosterone. Unexpectedly, rats with pubertal AR activation developed long-term depression (LTD). The same pattern was seen in normal male rats. Lack of LTP during the dark phase is consistent with other data on circadian modulation of CA1 LTP. No correlations were seen among social memory scores and CA1 plasticity measures. These data argue for two organizational effects of pubertal testosterone: (1) CA1 synaptic plasticity shifts away from potentiation toward depression; (2) social memory is reduced. Enduring effects of pubertal androgen on limbic circuits may contribute to reorganized behaviors in the postpubertal period.","container-title":"Experimental Neurology","DOI":"10.1016/S0014-4886(03)00119-5","ISSN":"0014-4886","issue":"2","journalAbbreviation":"Experimental Neurology","language":"en","page":"470-475","source":"ScienceDirect","title":"Two organizational effects of pubertal testosterone in male rats: transient social memory and a shift away from long-term potentiation following a tetanus in hippocampal CA1","title-short":"Two organizational effects of pubertal testosterone in male rats","volume":"182","author":[{"family":"Hebbard","given":"Pamela C"},{"family":"King","given":"Rebecca R"},{"family":"Malsbury","given":"Charles W"},{"family":"Harley","given":"Carolyn W"}],"issued":{"date-parts":[["2003",8,1]]}}},{"id":"dX9booob/byYWTmqm","uris":["http://zotero.org/users/local/0DUDweI1/items/5NMUBUBS"],"itemData":{"id":1763,"type":"article-journal","abstract":"The effects of prepubertal castration on hippocampal CA3-CA1 synaptic transmission and plasticity were studied at different ages in vitro. The field excitatory postsynaptic potentials (fEPSP) and population spikes (PS) were simultaneously recorded from stratum radiatum and stratum pylamidale of area CA1 following stimulation of Schaffer collaterals in slices taken from sham-castrated and castrated rats at postnatal days (PND) 28, 35, 45, and 60. Castration had no effect on baseline responses at different ages except at PND 60 that a decrease in the fEPSP slope was seen. Prepubertal castration caused age-specific changes in CA1-long term potentiation (LTP) induction. The castration did decrease both fEPSP-LTP and PS-LTP at PND 35 but a decrease was seen only in PS-LTP at PND 60. NMDA receptor antagonist AP5 (25 µM) completely blocked both fEPSP-LTP and PS-LTP at PND 60 and only PS-LTP at PND 35 in both sham-castrated and castrated groups. Although AP5 blocked fEPSP-LTP at PND 35 in sham-castrated group, it failed to inhibit fEPSP-LTP at PND 35 in castrated one. These findings suggest that prepubertal castration causes the age-dependent changes in CA1-LTP induction, which might arise from alterations in the NMDA receptors. Synapse 67:235–244, 2013. © 2013 Wiley Periodicals, Inc.","container-title":"Synapse","DOI":"10.1002/syn.21636","ISSN":"1098-2396","issue":"5","language":"en","note":"_eprint: https://onlinelibrary.wiley.com/doi/pdf/10.1002/syn.21636","page":"235-244","source":"Wiley Online Library","title":"Prepubertal castration causes the age-dependent changes in hippocampal long-term potentiation","volume":"67","author":[{"family":"Moradpour","given":"Farshad"},{"family":"Fathollahi","given":"Yaghoub"},{"family":"Naghdi","given":"Nasser"},{"family":"Hosseinmardi","given":"Nargess"},{"family":"Javan","given":"Mohammad"}],"issued":{"date-parts":[["2013"]]}}}],"schema":"https://github.com/citation-style-language/schema/raw/master/csl-citation.json"} </w:instrText>
      </w:r>
      <w:r>
        <w:fldChar w:fldCharType="separate"/>
      </w:r>
      <w:r w:rsidR="00C956A6" w:rsidRPr="3865CA10">
        <w:rPr>
          <w:rFonts w:ascii="Calibri" w:hAnsi="Calibri" w:cs="Calibri"/>
          <w:sz w:val="24"/>
          <w:szCs w:val="24"/>
        </w:rPr>
        <w:t>(74–76)</w:t>
      </w:r>
      <w:r>
        <w:fldChar w:fldCharType="end"/>
      </w:r>
      <w:r>
        <w:t xml:space="preserve">. These findings are in line with our observations that prepubertal castration led to increased c-fos/oxytocin colocalizations in the PVN and c-fos expression in anteromedial BNST. </w:t>
      </w:r>
      <w:r w:rsidR="001D47E6">
        <w:t>O</w:t>
      </w:r>
      <w:r w:rsidR="006E11E1">
        <w:t xml:space="preserve">xytocin neurons in the PVN </w:t>
      </w:r>
      <w:r w:rsidR="00101212">
        <w:t>project to the BNST</w:t>
      </w:r>
      <w:r w:rsidR="00EF46D2">
        <w:t xml:space="preserve"> </w:t>
      </w:r>
      <w:r w:rsidR="00C327F5">
        <w:fldChar w:fldCharType="begin"/>
      </w:r>
      <w:r w:rsidR="00C327F5">
        <w:instrText xml:space="preserve"> ADDIN ZOTERO_ITEM CSL_CITATION {"citationID":"JDHrQdA7","properties":{"formattedCitation":"(77)","plainCitation":"(77)","noteIndex":0},"citationItems":[{"id":5943,"uris":["http://zotero.org/users/5661202/items/4JI6LAWW"],"itemData":{"id":5943,"type":"article-journal","container-title":"Neuron","page":"553-566","title":"Evoked axonal oxytocin release in the central amygdala attenuates fear response","volume":"73","author":[{"family":"Knobloch","given":"H S"},{"family":"A.","given":"Charletm"},{"family":"Hoffmann","given":"L C"},{"family":"Eliava","given":"M"},{"family":"Khrulev","given":"S"},{"family":"Cetin","given":"A H"},{"family":"Osten","given":"P"},{"family":"Schwarz","given":"M K"},{"family":"H.","given":"Seeburgm P"},{"family":"Stoop","given":"R"},{"family":"Grinevich","given":"V"}],"issued":{"date-parts":[["2012"]]}}}],"schema":"https://github.com/citation-style-language/schema/raw/master/csl-citation.json"} </w:instrText>
      </w:r>
      <w:r w:rsidR="00C327F5">
        <w:fldChar w:fldCharType="separate"/>
      </w:r>
      <w:r w:rsidR="00C327F5" w:rsidRPr="00C327F5">
        <w:rPr>
          <w:rFonts w:ascii="Calibri" w:hAnsi="Calibri" w:cs="Calibri"/>
        </w:rPr>
        <w:t>(77)</w:t>
      </w:r>
      <w:r w:rsidR="00C327F5">
        <w:fldChar w:fldCharType="end"/>
      </w:r>
      <w:r w:rsidR="001D47E6">
        <w:t xml:space="preserve">, suggesting that these </w:t>
      </w:r>
      <w:r w:rsidR="00EF46D2">
        <w:t>outcomes</w:t>
      </w:r>
      <w:r w:rsidR="001D47E6">
        <w:t xml:space="preserve"> could be functionally linked</w:t>
      </w:r>
      <w:r w:rsidR="00101212">
        <w:t xml:space="preserve">. </w:t>
      </w:r>
      <w:r w:rsidR="003208E2">
        <w:t>O</w:t>
      </w:r>
      <w:r>
        <w:t>ur results suggest that androgens</w:t>
      </w:r>
      <w:r w:rsidR="003208E2">
        <w:t xml:space="preserve"> acting </w:t>
      </w:r>
      <w:r>
        <w:t xml:space="preserve">during puberty </w:t>
      </w:r>
      <w:r w:rsidR="003208E2">
        <w:t xml:space="preserve">may </w:t>
      </w:r>
      <w:r>
        <w:t>reduce the excitability of circuits that are affected by social defeat.</w:t>
      </w:r>
      <w:r w:rsidR="00173F25">
        <w:t xml:space="preserve"> </w:t>
      </w:r>
      <w:r w:rsidR="00173F25" w:rsidRPr="3865CA10">
        <w:rPr>
          <w:rFonts w:ascii="Calibri" w:eastAsia="Calibri" w:hAnsi="Calibri" w:cs="Calibri"/>
        </w:rPr>
        <w:t xml:space="preserve">Defeat stress increased acute BNST responses </w:t>
      </w:r>
      <w:r w:rsidR="005B45B1" w:rsidRPr="3865CA10">
        <w:rPr>
          <w:rFonts w:ascii="Calibri" w:eastAsia="Calibri" w:hAnsi="Calibri" w:cs="Calibri"/>
        </w:rPr>
        <w:t>in intact males after</w:t>
      </w:r>
      <w:r w:rsidR="00173F25" w:rsidRPr="3865CA10">
        <w:rPr>
          <w:rFonts w:ascii="Calibri" w:eastAsia="Calibri" w:hAnsi="Calibri" w:cs="Calibri"/>
        </w:rPr>
        <w:t xml:space="preserve"> attacks by naïve target mice</w:t>
      </w:r>
      <w:r w:rsidR="00152102" w:rsidRPr="3865CA10">
        <w:rPr>
          <w:rFonts w:ascii="Calibri" w:eastAsia="Calibri" w:hAnsi="Calibri" w:cs="Calibri"/>
        </w:rPr>
        <w:t>. A</w:t>
      </w:r>
      <w:r w:rsidR="00173F25" w:rsidRPr="3865CA10">
        <w:rPr>
          <w:rFonts w:ascii="Calibri" w:eastAsia="Calibri" w:hAnsi="Calibri" w:cs="Calibri"/>
        </w:rPr>
        <w:t>t first glance</w:t>
      </w:r>
      <w:r w:rsidR="005B45B1" w:rsidRPr="3865CA10">
        <w:rPr>
          <w:rFonts w:ascii="Calibri" w:eastAsia="Calibri" w:hAnsi="Calibri" w:cs="Calibri"/>
        </w:rPr>
        <w:t xml:space="preserve"> </w:t>
      </w:r>
      <w:r w:rsidR="00152102" w:rsidRPr="3865CA10">
        <w:rPr>
          <w:rFonts w:ascii="Calibri" w:eastAsia="Calibri" w:hAnsi="Calibri" w:cs="Calibri"/>
        </w:rPr>
        <w:t xml:space="preserve">this outcome </w:t>
      </w:r>
      <w:r w:rsidR="005B45B1" w:rsidRPr="3865CA10">
        <w:rPr>
          <w:rFonts w:ascii="Calibri" w:eastAsia="Calibri" w:hAnsi="Calibri" w:cs="Calibri"/>
        </w:rPr>
        <w:t>appears</w:t>
      </w:r>
      <w:r w:rsidR="00173F25" w:rsidRPr="3865CA10">
        <w:rPr>
          <w:rFonts w:ascii="Calibri" w:eastAsia="Calibri" w:hAnsi="Calibri" w:cs="Calibri"/>
        </w:rPr>
        <w:t xml:space="preserve"> inconsistent with observations in the castration study</w:t>
      </w:r>
      <w:r w:rsidR="007D1FB1" w:rsidRPr="3865CA10">
        <w:rPr>
          <w:rFonts w:ascii="Calibri" w:eastAsia="Calibri" w:hAnsi="Calibri" w:cs="Calibri"/>
        </w:rPr>
        <w:t xml:space="preserve"> that implicate</w:t>
      </w:r>
      <w:r w:rsidR="00173F25" w:rsidRPr="3865CA10">
        <w:rPr>
          <w:rFonts w:ascii="Calibri" w:eastAsia="Calibri" w:hAnsi="Calibri" w:cs="Calibri"/>
        </w:rPr>
        <w:t xml:space="preserve"> gonadal hormones </w:t>
      </w:r>
      <w:r w:rsidR="007D1FB1" w:rsidRPr="3865CA10">
        <w:rPr>
          <w:rFonts w:ascii="Calibri" w:eastAsia="Calibri" w:hAnsi="Calibri" w:cs="Calibri"/>
        </w:rPr>
        <w:t xml:space="preserve">in </w:t>
      </w:r>
      <w:r w:rsidR="00173F25" w:rsidRPr="3865CA10">
        <w:rPr>
          <w:rFonts w:ascii="Calibri" w:eastAsia="Calibri" w:hAnsi="Calibri" w:cs="Calibri"/>
        </w:rPr>
        <w:t>prevent</w:t>
      </w:r>
      <w:r w:rsidR="007D1FB1" w:rsidRPr="3865CA10">
        <w:rPr>
          <w:rFonts w:ascii="Calibri" w:eastAsia="Calibri" w:hAnsi="Calibri" w:cs="Calibri"/>
        </w:rPr>
        <w:t>ing</w:t>
      </w:r>
      <w:r w:rsidR="00173F25" w:rsidRPr="3865CA10">
        <w:rPr>
          <w:rFonts w:ascii="Calibri" w:eastAsia="Calibri" w:hAnsi="Calibri" w:cs="Calibri"/>
        </w:rPr>
        <w:t xml:space="preserve"> generalization of threat responses. </w:t>
      </w:r>
      <w:r w:rsidR="2405D412" w:rsidRPr="3865CA10">
        <w:rPr>
          <w:rFonts w:ascii="Calibri" w:eastAsia="Calibri" w:hAnsi="Calibri" w:cs="Calibri"/>
        </w:rPr>
        <w:t>In the pre-stress social interaction</w:t>
      </w:r>
      <w:r w:rsidR="0022342E" w:rsidRPr="3865CA10">
        <w:rPr>
          <w:rFonts w:ascii="Calibri" w:eastAsia="Calibri" w:hAnsi="Calibri" w:cs="Calibri"/>
        </w:rPr>
        <w:t xml:space="preserve"> test</w:t>
      </w:r>
      <w:r w:rsidR="2405D412" w:rsidRPr="3865CA10">
        <w:rPr>
          <w:rFonts w:ascii="Calibri" w:eastAsia="Calibri" w:hAnsi="Calibri" w:cs="Calibri"/>
        </w:rPr>
        <w:t>, i</w:t>
      </w:r>
      <w:r w:rsidR="00152102" w:rsidRPr="3865CA10">
        <w:rPr>
          <w:rFonts w:ascii="Calibri" w:eastAsia="Calibri" w:hAnsi="Calibri" w:cs="Calibri"/>
        </w:rPr>
        <w:t xml:space="preserve">ntact </w:t>
      </w:r>
      <w:r w:rsidR="00173F25" w:rsidRPr="3865CA10">
        <w:rPr>
          <w:rFonts w:ascii="Calibri" w:eastAsia="Calibri" w:hAnsi="Calibri" w:cs="Calibri"/>
        </w:rPr>
        <w:t>focal mice were attacked by naïve target mice in the testing arena. After defeat stress, focal mice were tested in the same arena</w:t>
      </w:r>
      <w:r w:rsidR="00615A81" w:rsidRPr="3865CA10">
        <w:rPr>
          <w:rFonts w:ascii="Calibri" w:eastAsia="Calibri" w:hAnsi="Calibri" w:cs="Calibri"/>
        </w:rPr>
        <w:t xml:space="preserve">. Focal mice may have learned that naïve target mice or the testing location were </w:t>
      </w:r>
      <w:r w:rsidR="6EF439C3" w:rsidRPr="3865CA10">
        <w:rPr>
          <w:rFonts w:ascii="Calibri" w:eastAsia="Calibri" w:hAnsi="Calibri" w:cs="Calibri"/>
        </w:rPr>
        <w:t>threatening</w:t>
      </w:r>
      <w:r w:rsidR="00173F25" w:rsidRPr="3865CA10">
        <w:rPr>
          <w:rFonts w:ascii="Calibri" w:eastAsia="Calibri" w:hAnsi="Calibri" w:cs="Calibri"/>
        </w:rPr>
        <w:t>, which may explain the effect of defeat stress on acute BNST responses.</w:t>
      </w:r>
      <w:r w:rsidR="00D97027" w:rsidRPr="3865CA10">
        <w:rPr>
          <w:rFonts w:ascii="Calibri" w:eastAsia="Calibri" w:hAnsi="Calibri" w:cs="Calibri"/>
        </w:rPr>
        <w:t xml:space="preserve"> Future work is needed to assess the extent to which androgens </w:t>
      </w:r>
      <w:r w:rsidR="1A0AED2A" w:rsidRPr="3865CA10">
        <w:rPr>
          <w:rFonts w:ascii="Calibri" w:eastAsia="Calibri" w:hAnsi="Calibri" w:cs="Calibri"/>
        </w:rPr>
        <w:t>m</w:t>
      </w:r>
      <w:r w:rsidR="3C5ED9B6" w:rsidRPr="3865CA10">
        <w:rPr>
          <w:rFonts w:ascii="Calibri" w:eastAsia="Calibri" w:hAnsi="Calibri" w:cs="Calibri"/>
        </w:rPr>
        <w:t>odulate</w:t>
      </w:r>
      <w:r w:rsidR="00562906" w:rsidRPr="3865CA10">
        <w:rPr>
          <w:rFonts w:ascii="Calibri" w:eastAsia="Calibri" w:hAnsi="Calibri" w:cs="Calibri"/>
        </w:rPr>
        <w:t xml:space="preserve"> </w:t>
      </w:r>
      <w:r w:rsidR="006366B1" w:rsidRPr="3865CA10">
        <w:rPr>
          <w:rFonts w:ascii="Calibri" w:eastAsia="Calibri" w:hAnsi="Calibri" w:cs="Calibri"/>
        </w:rPr>
        <w:t>the perception of threat.</w:t>
      </w:r>
    </w:p>
    <w:p w14:paraId="758E1473" w14:textId="01E24767" w:rsidR="00F63FF9" w:rsidRPr="00BC0B96" w:rsidRDefault="00F63FF9" w:rsidP="00F63FF9">
      <w:pPr>
        <w:spacing w:line="360" w:lineRule="auto"/>
        <w:rPr>
          <w:rFonts w:ascii="Calibri" w:eastAsia="Calibri" w:hAnsi="Calibri" w:cs="Calibri"/>
        </w:rPr>
      </w:pPr>
      <w:r w:rsidRPr="00BC0B96">
        <w:t xml:space="preserve">     </w:t>
      </w:r>
      <w:r w:rsidR="0097569F" w:rsidRPr="00BC0B96">
        <w:t xml:space="preserve">An open </w:t>
      </w:r>
      <w:r w:rsidRPr="00BC0B96">
        <w:t xml:space="preserve">question </w:t>
      </w:r>
      <w:r w:rsidR="0097569F" w:rsidRPr="00BC0B96">
        <w:t xml:space="preserve">is </w:t>
      </w:r>
      <w:r w:rsidRPr="00BC0B96">
        <w:t xml:space="preserve">which BNST cell types respond to social threats. This is further complicated by the fact that the BNST exhibits heterogeneity in neural responses, even within </w:t>
      </w:r>
      <w:r w:rsidRPr="00BC0B96">
        <w:lastRenderedPageBreak/>
        <w:t xml:space="preserve">genetically defined cell populations </w:t>
      </w:r>
      <w:r w:rsidRPr="00BC0B96">
        <w:fldChar w:fldCharType="begin"/>
      </w:r>
      <w:r w:rsidR="00C327F5">
        <w:instrText xml:space="preserve"> ADDIN ZOTERO_ITEM CSL_CITATION {"citationID":"cPhyGOQK","properties":{"formattedCitation":"(78\\uc0\\u8211{}80)","plainCitation":"(78–80)","noteIndex":0},"citationItems":[{"id":"dX9booob/GxgvIVPc","uris":["http://zotero.org/users/local/Y6rHm1NE/items/HBDKI94G"],"itemData":{"id":9,"type":"article-journal","abstract":"The bed nucleus of the stria terminalis (BNST) plays an emerging role in pain regulation. Pharmacological studies have found that inhibiting corticotropin-releasing factor (CRF) signaling in the BNST can selectively mitigate the sensory and affective-motivational components of pain. However, mechanistic insight on the source of CRF that drives BNST responses to these harmful experiences remains unknown. In the present study, we used a series of genetic approaches to show that CRF in the BNST is engaged in the processing and modulation of pain. We conducted cell-type specific in vivo calcium imaging in CRF-Cre mice and found robust and synchronized recruitment of BNSTCRF neurons during acute exposures to noxious heat. Distinct patterns of recruitment were observed by sex, as the magnitude and timing of heat responsive activity in BNSTCRF neurons differed for male and female mice. We then used a viral approach in Floxed-CRF mice to selectively reduce CRF expression in the BNST and found it decreased nociceptive sensitivity for both sexes and increased paw attending for females. Together, these findings reveal that CRF in the BNST influences multiple facets of the pain experience to impact the sex-specific expression of pain-related behaviors.","container-title":"Scientific Reports","DOI":"10.1038/s41598-021-91672-8","ISSN":"2045-2322","issue":"1","journalAbbreviation":"Sci Rep","language":"eng","note":"PMID: 34127705\nPMCID: PMC8203647","page":"12500","source":"PubMed","title":"Corticotropin-releasing factor neurons in the bed nucleus of the stria terminalis exhibit sex-specific pain encoding in mice","volume":"11","author":[{"family":"Yu","given":"Waylin"},{"family":"Caira","given":"Christina M."},{"family":"Del R Rivera Sanchez","given":"Natalia"},{"family":"Moseley","given":"Garrett A."},{"family":"Kash","given":"Thomas L."}],"issued":{"date-parts":[["2021",6,14]]}},"label":"page"},{"id":9627,"uris":["http://zotero.org/users/5661202/items/RU6U4IBZ"],"itemData":{"id":9627,"type":"article-journal","container-title":"Cell Reports","DOI":"10.1016/j.celrep.2020.108362","ISSN":"22111247","issue":"6","journalAbbreviation":"Cell Reports","language":"en","page":"108362","source":"DOI.org (Crossref)","title":"Prepronociceptin-Expressing Neurons in the Extended Amygdala Encode and Promote Rapid Arousal Responses to Motivationally Salient Stimuli","volume":"33","author":[{"family":"Rodriguez-Romaguera","given":"Jose"},{"family":"Ung","given":"Randall L."},{"family":"Nomura","given":"Hiroshi"},{"family":"Otis","given":"James M."},{"family":"Basiri","given":"Marcus L."},{"family":"Namboodiri","given":"Vijay M.K."},{"family":"Zhu","given":"Xueqi"},{"family":"Robinson","given":"J. Elliott"},{"family":"Munkhof","given":"Hanna E.","non-dropping-particle":"van den"},{"family":"McHenry","given":"Jenna A."},{"family":"Eckman","given":"Louisa E.H."},{"family":"Kosyk","given":"Oksana"},{"family":"Jhou","given":"Thomas C."},{"family":"Kash","given":"Thomas L."},{"family":"Bruchas","given":"Michael R."},{"family":"Stuber","given":"Garret D."}],"issued":{"date-parts":[["2020",11]]}}},{"id":9615,"uris":["http://zotero.org/users/5661202/items/YRG493J9"],"itemData":{"id":9615,"type":"article-journal","abstract":"Mating and aggression are innate social behaviours that are controlled by subcortical circuits in the extended amygdala and hypothalamus1–4. The bed nucleus of the stria terminalis (BNSTpr) is a node that receives input encoding sex-specific olfactory cues from the medial amygdala5,6, and which in turn projects to hypothalamic nuclei that control mating7–9 (medial preoptic area (MPOA)) and aggression9–14 (ventromedial hypothalamus, ventrolateral subdivision (VMHvl)), respectively15. Previous studies have demonstrated that male aromatase-positive BNSTpr neurons are required for mounting and attack, and may identify conspecific sex according to their overall level of activity16. However, neural representations in BNSTpr, their function and their transformations in the hypothalamus have not been characterized. Here we performed calcium imaging17,18 of male BNSTprEsr1 neurons during social behaviours. We identify distinct populations of female- versus male-tuned neurons in BNSTpr, with the former outnumbering the latter by around two to one, similar to the medial amygdala and MPOA but opposite to VMHvl, in which male-tuned neurons predominate6,9,19. Chemogenetic silencing of BNSTprEsr1 neurons while imaging MPOAEsr1 or VMHvlEsr1 neurons in behaving animals showed, unexpectedly, that the male-dominant sex-tuning bias in VMHvl was inverted to female-dominant whereas a switch from sniff- to mount-selective neurons during mating was attenuated in MPOA. Our data also indicate that BNSTprEsr1 neurons are not essential for conspecific sex identification. Rather, they control the transition from appetitive to consummatory phases of male social behaviours by shaping sex- and behaviour-specific neural representations in the hypothalamus.","container-title":"Nature","DOI":"10.1038/s41586-022-05057-6","ISSN":"1476-4687","issue":"7924","language":"en","license":"2022 The Author(s), under exclusive licence to Springer Nature Limited","note":"number: 7924\npublisher: Nature Publishing Group","page":"741-749","source":"www.nature.com","title":"Transformations of neural representations in a social behaviour network","volume":"608","author":[{"family":"Yang","given":"Bin"},{"family":"Karigo","given":"Tomomi"},{"family":"Anderson","given":"David J."}],"issued":{"date-parts":[["2022",8]]}}}],"schema":"https://github.com/citation-style-language/schema/raw/master/csl-citation.json"} </w:instrText>
      </w:r>
      <w:r w:rsidRPr="00BC0B96">
        <w:fldChar w:fldCharType="separate"/>
      </w:r>
      <w:r w:rsidR="00C327F5" w:rsidRPr="00C327F5">
        <w:rPr>
          <w:rFonts w:ascii="Calibri" w:hAnsi="Calibri" w:cs="Calibri"/>
          <w:sz w:val="24"/>
          <w:szCs w:val="24"/>
        </w:rPr>
        <w:t>(78–80)</w:t>
      </w:r>
      <w:r w:rsidRPr="00BC0B96">
        <w:fldChar w:fldCharType="end"/>
      </w:r>
      <w:r w:rsidRPr="00BC0B96">
        <w:t xml:space="preserve">. This variation could be explained by projection-specific populations within a cell-type </w:t>
      </w:r>
      <w:r w:rsidRPr="00BC0B96">
        <w:fldChar w:fldCharType="begin"/>
      </w:r>
      <w:r w:rsidR="00C327F5">
        <w:instrText xml:space="preserve"> ADDIN ZOTERO_ITEM CSL_CITATION {"citationID":"3szbNDqQ","properties":{"formattedCitation":"(81)","plainCitation":"(81)","noteIndex":0},"citationItems":[{"id":9621,"uris":["http://zotero.org/users/5661202/items/PRSDTIUF"],"itemData":{"id":9621,"type":"article-journal","abstract":"Opposite emotions like fear and reward states often utilize the same brain regions. The bed nucleus of the stria terminalis (BNST) comprises one hub for processing fear and reward processes. However, it remains unknown how dorsal BNST (dBNST) circuits process these antagonistic behaviors. Here, we exploited a combined Pavlovian fear and reward conditioning task that exposed mice to conditioned tone stimuli (CS)s, either paired with sucrose delivery or footshock unconditioned stimuli (US). Pharmacological inactivation identified the dorsal BNST as a crucial element for both fear and reward behavior. Deep brain calcium imaging revealed opposite roles of two distinct dBNST neuronal output pathways to the periaqueductal gray (PAG) or paraventricular hypothalamus (PVH). dBNST neural activity profiles differentially process valence and Pavlovian behavior components: dBNST-PAG neurons encode fear CS, whereas dBNST-PVH neurons encode reward responding. Optogenetic activation of BNST-PVH neurons increased reward seeking, whereas dBNST-PAG neurons attenuated freezing. Thus, dBNST-PVH or dBNST-PAG circuitry encodes oppositely valenced fear and reward states, while simultaneously triggering an overall positive affective response bias (increased reward seeking while reducing fear responses). We speculate that this mechanism amplifies reward responding and suppresses fear responses linked to BNST dysfunction in stress and addictive behaviors.","container-title":"Frontiers in Neural Circuits","DOI":"10.3389/fncir.2021.772512","ISSN":"1662-5110","journalAbbreviation":"Front. Neural Circuits","page":"772512","source":"DOI.org (Crossref)","title":"Dorsal Bed Nucleus of the Stria Terminalis-Subcortical Output Circuits Encode Positive Bias in Pavlovian Fear and Reward","volume":"15","author":[{"family":"Kaouane","given":"Nadia"},{"family":"Ada","given":"Sibel"},{"family":"Hausleitner","given":"Marlene"},{"family":"Haubensak","given":"Wulf"}],"issued":{"date-parts":[["2021",12,14]]}}}],"schema":"https://github.com/citation-style-language/schema/raw/master/csl-citation.json"} </w:instrText>
      </w:r>
      <w:r w:rsidRPr="00BC0B96">
        <w:fldChar w:fldCharType="separate"/>
      </w:r>
      <w:r w:rsidR="00C327F5" w:rsidRPr="00C327F5">
        <w:rPr>
          <w:rFonts w:ascii="Calibri" w:hAnsi="Calibri" w:cs="Calibri"/>
          <w:sz w:val="24"/>
        </w:rPr>
        <w:t>(81)</w:t>
      </w:r>
      <w:r w:rsidRPr="00BC0B96">
        <w:fldChar w:fldCharType="end"/>
      </w:r>
      <w:r w:rsidRPr="00BC0B96">
        <w:t xml:space="preserve">. This is supported by optogenetic studies showing the projection-specific effects of BNST neurons on behavior </w:t>
      </w:r>
      <w:r w:rsidRPr="00BC0B96">
        <w:rPr>
          <w:rFonts w:ascii="Calibri" w:eastAsia="Calibri" w:hAnsi="Calibri" w:cs="Calibri"/>
        </w:rPr>
        <w:fldChar w:fldCharType="begin"/>
      </w:r>
      <w:r w:rsidR="00C327F5">
        <w:rPr>
          <w:rFonts w:ascii="Calibri" w:eastAsia="Calibri" w:hAnsi="Calibri" w:cs="Calibri"/>
        </w:rPr>
        <w:instrText xml:space="preserve"> ADDIN ZOTERO_ITEM CSL_CITATION {"citationID":"1vWnUMPs","properties":{"formattedCitation":"(82\\uc0\\u8211{}85)","plainCitation":"(82–85)","noteIndex":0},"citationItems":[{"id":9619,"uris":["http://zotero.org/users/5661202/items/JWNSK6XJ"],"itemData":{"id":9619,"type":"article-journal","container-title":"Cell Reports","DOI":"10.1016/j.celrep.2022.110775","ISSN":"22111247","issue":"5","journalAbbreviation":"Cell Reports","language":"en","page":"110775","source":"DOI.org (Crossref)","title":"An extended amygdala-midbrain circuit controlling cocaine withdrawal-induced anxiety and reinstatement","volume":"39","author":[{"family":"Tian","given":"Guilian"},{"family":"Hui","given":"May"},{"family":"Macchia","given":"Desiree"},{"family":"Derdeyn","given":"Pieter"},{"family":"Rogers","given":"Alexandra"},{"family":"Hubbard","given":"Elizabeth"},{"family":"Liu","given":"Chengfeng"},{"family":"Vasquez","given":"Jose J."},{"family":"Taniguchi","given":"Lara"},{"family":"Bartas","given":"Katrina"},{"family":"Carroll","given":"Sean"},{"family":"Beier","given":"Kevin T."}],"issued":{"date-parts":[["2022",5]]}}},{"id":8778,"uris":["http://zotero.org/users/5661202/items/T872DFEL"],"itemData":{"id":8778,"type":"article-journal","abstract":"Different subregions of the bed nucleus of the stria terminalis are shown to increase and decrease anxiety in mice, and distinct neural projections arising from a single coordinating brain region modulate different anxiety features.","container-title":"Nature","DOI":"10.1038/nature12018","ISSN":"1476-4687","issue":"7444","language":"en","license":"2013 Nature Publishing Group, a division of Macmillan Publishers Limited. All Rights Reserved.","note":"number: 7444\npublisher: Nature Publishing Group","page":"219-223","source":"www.nature.com","title":"Diverging neural pathways assemble a behavioural state from separable features in anxiety","volume":"496","author":[{"family":"Kim","given":"Sung-Yon"},{"family":"Adhikari","given":"Avishek"},{"family":"Lee","given":"Soo Yeun"},{"family":"Marshel","given":"James H."},{"family":"Kim","given":"Christina K."},{"family":"Mallory","given":"Caitlin S."},{"family":"Lo","given":"Maisie"},{"family":"Pak","given":"Sally"},{"family":"Mattis","given":"Joanna"},{"family":"Lim","given":"Byung Kook"},{"family":"Malenka","given":"Robert C."},{"family":"Warden","given":"Melissa R."},{"family":"Neve","given":"Rachael"},{"family":"Tye","given":"Kay M."},{"family":"Deisseroth","given":"Karl"}],"issued":{"date-parts":[["2013",4]]}}},{"id":2702,"uris":["http://zotero.org/users/5661202/items/ES8ZFU5H"],"itemData":{"id":2702,"type":"article-journal","container-title":"Nature","page":"224-228","title":"Distinct extended amygdala circuits for divergent motivational states","volume":"496","author":[{"family":"Jennings","given":"J H"},{"family":"Sparta","given":"D R"},{"family":"Stamatakis","given":"A M"},{"family":"Ung","given":"R L"},{"family":"Pleil","given":"K E"},{"family":"Kash","given":"T L"},{"family":"Stuber","given":"G D"}],"issued":{"date-parts":[["2013"]]}}},{"id":"dX9booob/M0DYCrYh","uris":["http://zotero.org/users/local/Y6rHm1NE/items/FZH3F6PL"],"itemData":{"id":12,"type":"article-journal","abstract":"Lateral hypothalamus (LH) neurons containing the neuropeptide hypocretin (HCRT; orexin) modulate affective components of arousal, but their relevant synaptic inputs remain poorly defined. Here we identified inputs onto LH neurons that originate from neuronal populations in the bed nuclei of stria terminalis (BNST; a heterogeneous region of extended amygdala). We characterized two non-overlapping LH-projecting GABAergic BNST subpopulations that express distinct neuropeptides (corticotropin-releasing factor, CRF, and cholecystokinin, CCK). To functionally interrogate BNST→LH circuitry, we used tools for monitoring and manipulating neural activity with cell-type-specific resolution in freely behaving mice. We found that Crf-BNST and Cck-BNST neurons respectively provide abundant and sparse inputs onto Hcrt-LH neurons, display discrete physiological responses to salient stimuli, drive opposite emotionally valenced behaviors, and receive different proportions of inputs from upstream networks. Together, our data provide an advanced model for how parallel BNST→LH pathways promote divergent emotional states via connectivity patterns of genetically defined, circuit-specific neuronal subpopulations.","container-title":"Nature Neuroscience","DOI":"10.1038/s41593-018-0198-x","ISSN":"1546-1726","issue":"8","journalAbbreviation":"Nat Neurosci","language":"en","license":"2018 The Author(s)","note":"number: 8\npublisher: Nature Publishing Group","page":"1084-1095","source":"www.nature.com","title":"Parallel circuits from the bed nuclei of stria terminalis to the lateral hypothalamus drive opposing emotional states","volume":"21","author":[{"family":"Giardino","given":"William J."},{"family":"Eban-Rothschild","given":"Ada"},{"family":"Christoffel","given":"Daniel J."},{"family":"Li","given":"Shi-Bin"},{"family":"Malenka","given":"Robert C."},{"family":"Lecea","given":"Luis","non-dropping-particle":"de"}],"issued":{"date-parts":[["2018",8]]}}}],"schema":"https://github.com/citation-style-language/schema/raw/master/csl-citation.json"} </w:instrText>
      </w:r>
      <w:r w:rsidRPr="00BC0B96">
        <w:rPr>
          <w:rFonts w:ascii="Calibri" w:eastAsia="Calibri" w:hAnsi="Calibri" w:cs="Calibri"/>
        </w:rPr>
        <w:fldChar w:fldCharType="separate"/>
      </w:r>
      <w:r w:rsidR="00C327F5" w:rsidRPr="00C327F5">
        <w:rPr>
          <w:rFonts w:ascii="Calibri" w:hAnsi="Calibri" w:cs="Calibri"/>
          <w:sz w:val="24"/>
          <w:szCs w:val="24"/>
        </w:rPr>
        <w:t>(82–85)</w:t>
      </w:r>
      <w:r w:rsidRPr="00BC0B96">
        <w:rPr>
          <w:rFonts w:ascii="Calibri" w:eastAsia="Calibri" w:hAnsi="Calibri" w:cs="Calibri"/>
        </w:rPr>
        <w:fldChar w:fldCharType="end"/>
      </w:r>
      <w:r w:rsidRPr="00BC0B96">
        <w:rPr>
          <w:rFonts w:ascii="Calibri" w:eastAsia="Calibri" w:hAnsi="Calibri" w:cs="Calibri"/>
        </w:rPr>
        <w:t xml:space="preserve">. Future research considering genetic and projection-specific populations during neuronal recording of activity in different social contexts </w:t>
      </w:r>
      <w:r w:rsidR="00E744A9" w:rsidRPr="00BC0B96">
        <w:rPr>
          <w:rFonts w:ascii="Calibri" w:eastAsia="Calibri" w:hAnsi="Calibri" w:cs="Calibri"/>
        </w:rPr>
        <w:t>will</w:t>
      </w:r>
      <w:r w:rsidRPr="00BC0B96">
        <w:rPr>
          <w:rFonts w:ascii="Calibri" w:eastAsia="Calibri" w:hAnsi="Calibri" w:cs="Calibri"/>
        </w:rPr>
        <w:t xml:space="preserve"> be informative.</w:t>
      </w:r>
      <w:r w:rsidR="0075723C" w:rsidRPr="00BC0B96">
        <w:rPr>
          <w:rFonts w:ascii="Calibri" w:eastAsia="Calibri" w:hAnsi="Calibri" w:cs="Calibri"/>
        </w:rPr>
        <w:t xml:space="preserve"> Future studies could also consider whether effects of pubertal hormones are dependent on </w:t>
      </w:r>
      <w:r w:rsidR="0044781C" w:rsidRPr="00BC0B96">
        <w:rPr>
          <w:rFonts w:ascii="Calibri" w:eastAsia="Calibri" w:hAnsi="Calibri" w:cs="Calibri"/>
        </w:rPr>
        <w:t>prenatal or</w:t>
      </w:r>
      <w:r w:rsidR="006C2316" w:rsidRPr="00BC0B96">
        <w:rPr>
          <w:rFonts w:ascii="Calibri" w:eastAsia="Calibri" w:hAnsi="Calibri" w:cs="Calibri"/>
        </w:rPr>
        <w:t xml:space="preserve"> neonatal </w:t>
      </w:r>
      <w:r w:rsidR="006C2316" w:rsidRPr="00BC0B96">
        <w:rPr>
          <w:rFonts w:ascii="Calibri" w:eastAsia="Calibri" w:hAnsi="Calibri" w:cs="Calibri"/>
        </w:rPr>
        <w:fldChar w:fldCharType="begin"/>
      </w:r>
      <w:r w:rsidR="00C327F5">
        <w:rPr>
          <w:rFonts w:ascii="Calibri" w:eastAsia="Calibri" w:hAnsi="Calibri" w:cs="Calibri"/>
        </w:rPr>
        <w:instrText xml:space="preserve"> ADDIN ZOTERO_ITEM CSL_CITATION {"citationID":"o8k2jFtZ","properties":{"formattedCitation":"(86, 87)","plainCitation":"(86, 87)","noteIndex":0},"citationItems":[{"id":9708,"uris":["http://zotero.org/users/5661202/items/3BJ3C9GQ"],"itemData":{"id":9708,"type":"article-journal","container-title":"Archives Internationales de Physiologie, de Biochimie et de Biophysique","DOI":"10.3109/13813459209035274","ISSN":"0778-3124","issue":"2","journalAbbreviation":"Archives Internationales de Physiologie, de Biochimie et de Biophysique","language":"en","page":"127-131","source":"DOI.org (Crossref)","title":"The neonatal testosterone surge: A comparative study","title-short":"The neonatal testosterone surge","volume":"100","author":[{"family":"Corbier","given":"P."},{"family":"Edwards","given":"D. A."},{"family":"Roffi","given":"J."}],"issued":{"date-parts":[["1992",1]]}}},{"id":9709,"uris":["http://zotero.org/users/5661202/items/M6SYGFTG"],"itemData":{"id":9709,"type":"article-journal","container-title":"European Journal of Neuroscience","DOI":"10.1111/j.1460-9568.2010.07511.x","ISSN":"0953816X","issue":"12","language":"en","page":"2096-2104","source":"DOI.org (Crossref)","title":"Organized for sex - steroid hormones and the developing hypothalamus: Steroids and the developing hypothalamus","title-short":"Organized for sex - steroid hormones and the developing hypothalamus","volume":"32","author":[{"family":"Lenz","given":"Kathryn M."},{"family":"McCarthy","given":"Margaret M."}],"issued":{"date-parts":[["2010",12]]}}}],"schema":"https://github.com/citation-style-language/schema/raw/master/csl-citation.json"} </w:instrText>
      </w:r>
      <w:r w:rsidR="006C2316" w:rsidRPr="00BC0B96">
        <w:rPr>
          <w:rFonts w:ascii="Calibri" w:eastAsia="Calibri" w:hAnsi="Calibri" w:cs="Calibri"/>
        </w:rPr>
        <w:fldChar w:fldCharType="separate"/>
      </w:r>
      <w:r w:rsidR="00C327F5" w:rsidRPr="00C327F5">
        <w:rPr>
          <w:rFonts w:ascii="Calibri" w:hAnsi="Calibri" w:cs="Calibri"/>
        </w:rPr>
        <w:t>(86, 87)</w:t>
      </w:r>
      <w:r w:rsidR="006C2316" w:rsidRPr="00BC0B96">
        <w:rPr>
          <w:rFonts w:ascii="Calibri" w:eastAsia="Calibri" w:hAnsi="Calibri" w:cs="Calibri"/>
        </w:rPr>
        <w:fldChar w:fldCharType="end"/>
      </w:r>
      <w:r w:rsidR="0044781C" w:rsidRPr="00BC0B96">
        <w:rPr>
          <w:rFonts w:ascii="Calibri" w:eastAsia="Calibri" w:hAnsi="Calibri" w:cs="Calibri"/>
        </w:rPr>
        <w:t xml:space="preserve"> surges in testosterone.</w:t>
      </w:r>
    </w:p>
    <w:p w14:paraId="66B367B3" w14:textId="77777777" w:rsidR="00F63FF9" w:rsidRPr="00BC0B96" w:rsidRDefault="00F63FF9" w:rsidP="00F63FF9">
      <w:pPr>
        <w:spacing w:line="360" w:lineRule="auto"/>
        <w:rPr>
          <w:rFonts w:ascii="Calibri" w:eastAsia="Calibri" w:hAnsi="Calibri" w:cs="Calibri"/>
        </w:rPr>
      </w:pPr>
    </w:p>
    <w:p w14:paraId="382C65E4" w14:textId="77777777" w:rsidR="0073583C" w:rsidRDefault="00F63FF9" w:rsidP="00F63FF9">
      <w:pPr>
        <w:spacing w:line="360" w:lineRule="auto"/>
      </w:pPr>
      <w:r w:rsidRPr="3865CA10">
        <w:rPr>
          <w:b/>
          <w:bCs/>
        </w:rPr>
        <w:t>Activation of androgen receptors during puberty blunts stress-induced social avoidance</w:t>
      </w:r>
      <w:r>
        <w:t xml:space="preserve">. In adult hamsters, dominant males have more androgen receptor expression in the medial amygdala (MEA) than subordinates and pharmacological inhibition of AR in the MEA of dominant males increases sensitivity to social stress </w:t>
      </w:r>
      <w:r>
        <w:fldChar w:fldCharType="begin"/>
      </w:r>
      <w:r w:rsidR="00C327F5">
        <w:instrText xml:space="preserve"> ADDIN ZOTERO_ITEM CSL_CITATION {"citationID":"Rr4hs09m","properties":{"formattedCitation":"(88)","plainCitation":"(88)","noteIndex":0},"citationItems":[{"id":9641,"uris":["http://zotero.org/users/5661202/items/BTAZYPFV"],"itemData":{"id":9641,"type":"article-journal","container-title":"Psychoneuroendocrinology","DOI":"10.1016/j.psyneuen.2021.105249","ISSN":"03064530","journalAbbreviation":"Psychoneuroendocrinology","language":"en","page":"105249","source":"DOI.org (Crossref)","title":"Gonadal steroid hormone receptors in the medial amygdala contribute to experience-dependent changes in stress vulnerability","volume":"129","author":[{"family":"Cooper","given":"Matthew A."},{"family":"Clinard","given":"Catherine T."},{"family":"Dulka","given":"Brooke N."},{"family":"Grizzell","given":"J. Alex"},{"family":"Loewen","given":"Annie L."},{"family":"Campbell","given":"Ashley V."},{"family":"Adler","given":"Samuel G."}],"issued":{"date-parts":[["2021",7]]}}}],"schema":"https://github.com/citation-style-language/schema/raw/master/csl-citation.json"} </w:instrText>
      </w:r>
      <w:r>
        <w:fldChar w:fldCharType="separate"/>
      </w:r>
      <w:r w:rsidR="00C327F5" w:rsidRPr="00C327F5">
        <w:rPr>
          <w:rFonts w:ascii="Calibri" w:hAnsi="Calibri" w:cs="Calibri"/>
          <w:sz w:val="24"/>
        </w:rPr>
        <w:t>(88)</w:t>
      </w:r>
      <w:r>
        <w:fldChar w:fldCharType="end"/>
      </w:r>
      <w:r>
        <w:t>. Similarly</w:t>
      </w:r>
      <w:r w:rsidR="0C4C087F">
        <w:t>,</w:t>
      </w:r>
      <w:r>
        <w:t xml:space="preserve"> testosterone can exert acute anxiolytic effects in a variety of behavioral assays </w:t>
      </w:r>
      <w:r>
        <w:fldChar w:fldCharType="begin"/>
      </w:r>
      <w:r w:rsidR="00C327F5">
        <w:instrText xml:space="preserve"> ADDIN ZOTERO_ITEM CSL_CITATION {"citationID":"dJ91fXLe","properties":{"formattedCitation":"(89\\uc0\\u8211{}91)","plainCitation":"(89–91)","noteIndex":0},"citationItems":[{"id":"dX9booob/RORqAbku","uris":["http://zotero.org/users/local/0DUDweI1/items/LZRFL7AT"],"itemData":{"id":1305,"type":"article-journal","abstract":"Eight experiments supported the hypotheses that reflexive testosterone release by male mice during sexual encounters reduces male anxiety (operationally defined in terms of behavior on an elevated plus-maze) and that this anxiolysis is mediated by the conversion of testosterone to neurosteroids that interact with GABAA receptors. In Experiment 1, a 10-min exposure to opposite-sex conspecifics significantly reduced both male and female anxiety 20 min later (as indexed by increased open-arm time on an elevated plus-maze) compared to control mice not receiving this exposure. In contrast, locomotor activity (as indexed by enclosed-arm entries on the elevated plus-maze) was not significantly affected. The remaining experiments examined only male behavior. In Experiment 2, exposure to female urine alone was anxiolytic while locomotor activity was not significantly affected. Thus, urinary pheromones of female mice likely initiated the events leading to the male anxiolysis. In phase 1 of Experiment 3, sc injections of 500 μg of testosterone significantly reduced anxiety 30 min later while locomotor activity was not significantly affected. Thus, testosterone elevations were associated with reduced male anxiety and the time course consistent with a nongenomic, or very rapid genomic, mechanism of testosterone action. In phase 2 of Experiment 3, the anxiolytic effect of testosterone was dose dependent with a 250 μg sc injection required. Thus, testosterone levels likely must be well above baseline levels (i.e., in the range induced by pulsatile release) in order to induce anxiolysis. In Experiment 4, a high dosage of 5α-dihydrotestosterone was more anxiolytic than a high dosage of estradiol benzoate, suggesting that testosterone action may require 5α-reduction. In Experiments 5 and 6, 3α,5α-reduced neurosteroid metabolites of testosterone (androsterone and 3α-androstandione) were both anxiolytic at a lower dosage (100 μg/sc injection) than testosterone, supporting the notion that testosterone is converted into neurosteroid metabolites for anxiolytic activity. Experiments 7 and 8 found that either picrotoxin or bicucculine, noncompetitive and competitive antagonists of the GABAA receptor, respectively, blocked the anxiolytic effects of testosterone. However, conclusions from these 2 experiments must be tempered by the reduction in locomotor activity that was also seen. The possible brain locations of testosterone action as well as the possible adaptive significance of this anxiolytic response are discussed.","container-title":"Hormones and Behavior","DOI":"10.1006/hbeh.2002.1838","ISSN":"0018-506X","issue":"4","journalAbbreviation":"Hormones and Behavior","page":"448-460","source":"ScienceDirect","title":"Testosterone Rapidly Reduces Anxiety in Male House Mice (Mus musculus)","volume":"42","author":[{"family":"Aikey","given":"Jeremy L."},{"family":"Nyby","given":"John G."},{"family":"Anmuth","given":"David M."},{"family":"James","given":"Peter J."}],"issued":{"date-parts":[["2002",12,1]]}}},{"id":"dX9booob/MCkRcIIr","uris":["http://zotero.org/users/local/0DUDweI1/items/WEWDZ7UN"],"itemData":{"id":"7Z7NTjAu/4kvw3CqQ","type":"article-journal","abstract":"Preliminary evidence suggests that testosterone (T) may have anxiety-reducing and cognitive-enhancing properties in animals and people. Performance in a number of affective and cognitive behavioral tasks was examined in intact, T-depleted, and T-depleted and T-replaced male rats. Rats that were gonadally intact (n = 33), gonadectomized (GDX; n = 30), or GDX with silastic capsules of T implanted (n = 28) were tested through a battery of affective tasks (horizontal crossing, open field, elevated plus-maze, emergence, holeboard, social interaction, tailflick, pawlick, and defensive burying) and in the inhibitory avoidance task for cognitive performance. An additional 6 rats per group had plasma androgen concentrations measured and were determined to be physiological for intact rats, supraphysiological for T-implanted rats, and near the nadir for GDX rats. Testosterone implants produced analgesia as shown by the increased tailflick latencies of the GDX rats with silastic capsules of T implanted, relative to intact or GDX rats. Testosterone also produced anxiolysis. Intact rats spent more time interacting with a conspecific and less time burying an electrified prod than did the GDX or T-implanted rats. Intact rats or GDX rats with T implants also spent more time on the open arms of the elevated plus-maze than did GDX rats. Testosterone also enhanced cognitive performance in the inhibitory avoidance task. Intact rats had longer crossover latencies in the inhibitory avoidance task relative to GDX rats; GDX rats with T implants had longer crossover latencies relative to GDX or intact rats. Together, these data demonstrate that endogenous T or administration of T produced analgesia and enhanced affect and cognitive performance of adult male rats.","container-title":"Cognitive, Affective, &amp; Behavioral Neuroscience","DOI":"10.3758/CABN.1.4.371","ISSN":"1531-135X","issue":"4","journalAbbreviation":"Cognitive, Affective, &amp; Behavioral Neuroscience","language":"en","page":"371-381","source":"Springer Link","title":"Testosterone increases analgesia, anxiolysis, and cognitive performance of male rats","volume":"1","author":[{"family":"Frye","given":"Cheryl A."},{"family":"Seliga","given":"Angela M."}],"issued":{"date-parts":[["2001",12,1]]}}},{"id":9652,"uris":["http://zotero.org/users/5661202/items/RBFVVCBE"],"itemData":{"id":9652,"type":"article-journal","container-title":"Biological Psychiatry","DOI":"10.1016/j.biopsych.2011.11.028","ISSN":"00063223","issue":"7","journalAbbreviation":"Biological Psychiatry","language":"en","page":"642-651","source":"DOI.org (Crossref)","title":"Extracellular Signal-Regulated Kinase 2 Signaling in the Hippocampal Dentate Gyrus Mediates the Antidepressant Effects of Testosterone","volume":"71","author":[{"family":"Carrier","given":"Nicole"},{"family":"Kabbaj","given":"Mohamed"}],"issued":{"date-parts":[["2012",4]]}}}],"schema":"https://github.com/citation-style-language/schema/raw/master/csl-citation.json"} </w:instrText>
      </w:r>
      <w:r>
        <w:fldChar w:fldCharType="separate"/>
      </w:r>
      <w:r w:rsidR="00C327F5" w:rsidRPr="00C327F5">
        <w:rPr>
          <w:rFonts w:ascii="Calibri" w:hAnsi="Calibri" w:cs="Calibri"/>
          <w:sz w:val="24"/>
          <w:szCs w:val="24"/>
        </w:rPr>
        <w:t>(89–91)</w:t>
      </w:r>
      <w:r>
        <w:fldChar w:fldCharType="end"/>
      </w:r>
      <w:r>
        <w:t>. Interestingly, in adult California mice, androgens d</w:t>
      </w:r>
      <w:r w:rsidR="00067992">
        <w:t xml:space="preserve">o </w:t>
      </w:r>
      <w:r>
        <w:t>not affect social approach regardless of stress exposure</w:t>
      </w:r>
      <w:r w:rsidR="00F02AF5">
        <w:t xml:space="preserve"> even though the</w:t>
      </w:r>
      <w:r w:rsidR="00117F9B">
        <w:t>y blunt acute corticosterone responses to defeat</w:t>
      </w:r>
      <w:r>
        <w:t xml:space="preserve"> </w:t>
      </w:r>
      <w:r>
        <w:fldChar w:fldCharType="begin"/>
      </w:r>
      <w:r w:rsidR="00C327F5">
        <w:instrText xml:space="preserve"> ADDIN ZOTERO_ITEM CSL_CITATION {"citationID":"KoYDXFhG","properties":{"formattedCitation":"(43)","plainCitation":"(43)","noteIndex":0},"citationItems":[{"id":"dX9booob/6UuRvWMt","uris":["http://zotero.org/users/local/0DUDweI1/items/TUWL3VJ6"],"itemData":{"id":"MqcPsKot/u4Ge43El","type":"article-journal","title":"Sex differences in stress-induced social withdrawal: independence from adult gonadal hormones and inhibition of female phenotype by corncob bedding","container-title":"Hormones and Behavior","page":"543-550","volume":"63","issue":"3","source":"PMC","abstract":"There is compelling evidence for important sex differences in behavioral and hormonal responses to psychosocial stress. Here we examined the effects of gonadal hormones on behavioral responses to social defeat stress in monogamous California mice (Peromyscus californicus). Three episodes of social defeat induced social withdrawal in intact females but not males. Gonadectomy blocked corticosterone responses to defeat in females and sensitized male corticosterone responses. However, gonadectomy had no effects on social interaction behavior, suggesting that social withdrawal is not dependent on gonadal hormones in the adult California mouse. In contrast, defeat reduced exploratory behavior in the open field test for intact but not castrated males. We also examined the effects of social defeat on social interaction behavior when California mice were raised on corncob bedding, which has estrogenic properties. In this dataset of over 300 mice, we observed that social defeat did not induce social withdrawal when females were raised on corncob bedding. This finding suggests that the use of corncob in rodent studies could mask important sex differences in the effects of stress on brain and behavior. Although gonadal hormones do not affect social withdrawal behavior in adults, our data suggest that hormones may act earlier in development to induce a more resilient social phenotype.","DOI":"10.1016/j.yhbeh.2013.01.011","ISSN":"0018-506X 1095-6867","author":[{"family":"Trainor","given":"Brian C."},{"family":"Takahashi","given":"Elizabeth Y."},{"family":"Campi","given":"Katharine L."},{"family":"Florez","given":"Stefani A."},{"family":"Greenberg","given":"Gian D."},{"family":"Laman-Maharg","given":"Abigail"},{"family":"Laredo","given":"Sarah A."},{"family":"Orr","given":"Veronica N."},{"family":"Silva","given":"Andrea L."},{"family":"Steinman","given":"Michael Q."}],"issued":{"date-parts":[["2013"]],"season":"04"}}}],"schema":"https://github.com/citation-style-language/schema/raw/master/csl-citation.json"} </w:instrText>
      </w:r>
      <w:r>
        <w:fldChar w:fldCharType="separate"/>
      </w:r>
      <w:r w:rsidR="00563A6D" w:rsidRPr="3865CA10">
        <w:rPr>
          <w:rFonts w:ascii="Calibri" w:hAnsi="Calibri" w:cs="Calibri"/>
          <w:sz w:val="24"/>
          <w:szCs w:val="24"/>
        </w:rPr>
        <w:t>(43)</w:t>
      </w:r>
      <w:r>
        <w:fldChar w:fldCharType="end"/>
      </w:r>
      <w:r>
        <w:t xml:space="preserve">. Here we show that androgens act during puberty to influence how social behavior is impacted by stress, suggesting that even in species where androgens do not have an overt role in regulating stress-sensitivity in adults, androgens can program behavioral responses during adolescence. This may be particularly relevant for humans, where the relationship between gonadal hormones and stress responses in adults can be inconsistent </w:t>
      </w:r>
      <w:r>
        <w:fldChar w:fldCharType="begin"/>
      </w:r>
      <w:r w:rsidR="00C327F5">
        <w:instrText xml:space="preserve"> ADDIN ZOTERO_ITEM CSL_CITATION {"citationID":"2gZhd2CV","properties":{"formattedCitation":"(92\\uc0\\u8211{}94)","plainCitation":"(92–94)","noteIndex":0},"citationItems":[{"id":9643,"uris":["http://zotero.org/users/5661202/items/CNGPVJ7P"],"itemData":{"id":9643,"type":"article-journal","container-title":"Psychoneuroendocrinology","DOI":"10.1016/S0306-4530(00)00043-3","ISSN":"03064530","issue":"3","journalAbbreviation":"Psychoneuroendocrinology","language":"en","page":"225-240","source":"DOI.org (Crossref)","title":"Gender differences in age-related changes in HPA axis reactivity","volume":"26","author":[{"family":"Seeman","given":"Teresa E."},{"family":"Singer","given":"Burton"},{"family":"Wilkinson","given":"Charles W."},{"literal":"Bruce McEwen"}],"issued":{"date-parts":[["2001",4]]}}},{"id":9644,"uris":["http://zotero.org/users/5661202/items/MIRNV7K7"],"itemData":{"id":9644,"type":"article-journal","container-title":"Psychoneuroendocrinology","DOI":"10.1016/j.psyneuen.2006.02.003","ISSN":"03064530","issue":"5","journalAbbreviation":"Psychoneuroendocrinology","language":"en","page":"642-652","source":"DOI.org (Crossref)","title":"Gender differences in hypothalamic–pituitary–adrenal (HPA) axis reactivity","volume":"31","author":[{"family":"Uhart","given":"M"},{"family":"Chong","given":"R"},{"family":"Oswald","given":"L"},{"family":"Lin","given":"P"},{"family":"Wand","given":"G"}],"issued":{"date-parts":[["2006",6]]}}},{"id":9645,"uris":["http://zotero.org/users/5661202/items/9V5L7MMW"],"itemData":{"id":9645,"type":"article-journal","container-title":"Psychosomatic Medicine","DOI":"10.1097/00006842-199903000-00006","ISSN":"0033-3174","issue":"2","journalAbbreviation":"Psychosomatic Medicine","language":"en","page":"154-162","source":"DOI.org (Crossref)","title":"Impact of Gender, Menstrual Cycle Phase, and Oral Contraceptives on the Activity of the Hypothalamus-Pituitary-Adrenal Axis:","title-short":"Impact of Gender, Menstrual Cycle Phase, and Oral Contraceptives on the Activity of the Hypothalamus-Pituitary-Adrenal Axis","volume":"61","author":[{"family":"Kirschbaum","given":"Clemens"},{"family":"Kudielka","given":"Brigitte M."},{"family":"Gaab","given":"Jens"},{"family":"Schommer","given":"Nicole C."},{"family":"Hellhammer","given":"Dirk H."}],"issued":{"date-parts":[["1999"]]}}}],"schema":"https://github.com/citation-style-language/schema/raw/master/csl-citation.json"} </w:instrText>
      </w:r>
      <w:r>
        <w:fldChar w:fldCharType="separate"/>
      </w:r>
      <w:r w:rsidR="00C327F5" w:rsidRPr="00C327F5">
        <w:rPr>
          <w:rFonts w:ascii="Calibri" w:hAnsi="Calibri" w:cs="Calibri"/>
          <w:sz w:val="24"/>
          <w:szCs w:val="24"/>
        </w:rPr>
        <w:t>(92–94)</w:t>
      </w:r>
      <w:r>
        <w:fldChar w:fldCharType="end"/>
      </w:r>
      <w:r>
        <w:t xml:space="preserve">. Although pubertal DHT and testosterone treatment had similar effects on social approach in stressed males, the effect of DHT on social vigilance was weaker. Similar effects were observed in females. These results suggest that estrogen receptors may play a complementary role in pubertal organization of stress-induced behavior. Estrogens can enhance anxiety-related behaviors by activating </w:t>
      </w:r>
      <w:r w:rsidRPr="3865CA10">
        <w:rPr>
          <w:i/>
          <w:iCs/>
        </w:rPr>
        <w:t>Esr1</w:t>
      </w:r>
      <w:r>
        <w:t xml:space="preserve"> or </w:t>
      </w:r>
      <w:r w:rsidR="3D79433D">
        <w:t>exerting</w:t>
      </w:r>
      <w:r>
        <w:t xml:space="preserve"> anxiolytic effects via </w:t>
      </w:r>
      <w:r w:rsidRPr="3865CA10">
        <w:rPr>
          <w:i/>
          <w:iCs/>
        </w:rPr>
        <w:t>Esr2</w:t>
      </w:r>
      <w:r>
        <w:t xml:space="preserve"> </w:t>
      </w:r>
      <w:r>
        <w:fldChar w:fldCharType="begin"/>
      </w:r>
      <w:r w:rsidR="00C327F5">
        <w:instrText xml:space="preserve"> ADDIN ZOTERO_ITEM CSL_CITATION {"citationID":"ZWo0Dxo3","properties":{"formattedCitation":"(95)","plainCitation":"(95)","noteIndex":0},"citationItems":[{"id":9646,"uris":["http://zotero.org/users/5661202/items/WUWGQFZ8"],"itemData":{"id":9646,"type":"chapter","container-title":"Vitamins and Hormones","ISBN":"978-0-12-811914-3","language":"en","note":"DOI: 10.1016/bs.vh.2016.08.004","page":"27-52","publisher":"Elsevier","source":"DOI.org (Crossref)","title":"Estrogen Receptors Modulation of Anxiety-Like Behavior","URL":"https://linkinghub.elsevier.com/retrieve/pii/S0083672916300425","volume":"103","author":[{"family":"Borrow","given":"A.P."},{"family":"Handa","given":"R.J."}],"accessed":{"date-parts":[["2023",4,8]]},"issued":{"date-parts":[["2017"]]}}}],"schema":"https://github.com/citation-style-language/schema/raw/master/csl-citation.json"} </w:instrText>
      </w:r>
      <w:r>
        <w:fldChar w:fldCharType="separate"/>
      </w:r>
      <w:r w:rsidR="00C327F5" w:rsidRPr="00C327F5">
        <w:rPr>
          <w:rFonts w:ascii="Calibri" w:hAnsi="Calibri" w:cs="Calibri"/>
          <w:sz w:val="24"/>
        </w:rPr>
        <w:t>(95)</w:t>
      </w:r>
      <w:r>
        <w:fldChar w:fldCharType="end"/>
      </w:r>
      <w:r>
        <w:t>. Both receptors are present in the BNST, and future studies should consider the possible developmental effects of these receptors on stress-induced social vigilance.</w:t>
      </w:r>
      <w:r w:rsidR="00AB629C">
        <w:t xml:space="preserve"> </w:t>
      </w:r>
    </w:p>
    <w:p w14:paraId="381C0F32" w14:textId="595B26AD" w:rsidR="00565378" w:rsidRPr="00BC0B96" w:rsidRDefault="0073583C" w:rsidP="00F63FF9">
      <w:pPr>
        <w:spacing w:line="360" w:lineRule="auto"/>
      </w:pPr>
      <w:r>
        <w:t xml:space="preserve">      </w:t>
      </w:r>
      <w:r w:rsidR="0041385D">
        <w:t xml:space="preserve">Our studies provide strong evidence for a key role for pubertal hormone action, but they have a few limitations. </w:t>
      </w:r>
      <w:r w:rsidR="00AB03B7">
        <w:t>Silastic implants released hormones both during puberty and adults</w:t>
      </w:r>
      <w:r w:rsidR="00F86AFE">
        <w:t>. We</w:t>
      </w:r>
      <w:r w:rsidR="00AB03B7">
        <w:t xml:space="preserve"> did not test whether </w:t>
      </w:r>
      <w:r w:rsidR="00191B76">
        <w:t xml:space="preserve">effects of pubertal androgen exposure </w:t>
      </w:r>
      <w:r w:rsidR="00F86AFE">
        <w:t xml:space="preserve">were </w:t>
      </w:r>
      <w:r w:rsidR="00191B76">
        <w:t xml:space="preserve">maintained in the absence of </w:t>
      </w:r>
      <w:r w:rsidR="00F86AFE">
        <w:t xml:space="preserve">androgens </w:t>
      </w:r>
      <w:r w:rsidR="00191B76">
        <w:t>in adults</w:t>
      </w:r>
      <w:r w:rsidR="00F86AFE">
        <w:t>,</w:t>
      </w:r>
      <w:r w:rsidR="00191B76">
        <w:t xml:space="preserve"> as has been done for sexual behavior in hamsters </w:t>
      </w:r>
      <w:r w:rsidR="00191B76">
        <w:fldChar w:fldCharType="begin"/>
      </w:r>
      <w:r w:rsidR="00191B76">
        <w:instrText xml:space="preserve"> ADDIN ZOTERO_ITEM CSL_CITATION {"citationID":"UmOzQlMW","properties":{"formattedCitation":"(96)","plainCitation":"(96)","noteIndex":0},"citationItems":[{"id":9260,"uris":["http://zotero.org/users/5661202/items/4ZD2PPMV"],"itemData":{"id":9260,"type":"article-journal","abstract":"Three experiments were conducted to test whether testicular hormones secreted during puberty masculinize and defeminize the expression of adult reproductive behavior. Experiment 1 tested the hypothesis that gonadal hormones during puberty masculinize behavioral responses to testosterone (T) in adulthood. Male hamsters were castrated either before puberty (noTduringP) or after puberty (TduringP). All males were implanted with a 2.5-mg T pellet 6 weeks following castration and tested once for masculine reproductive behavior 7 days after the onset of T replacement. TduringP males displayed significantly more mounts, intromissions, and ejaculations than noTduringP males. Experiment 2 tested the hypothesis that gonadal hormones during puberty defeminize behavioral responses to estrogen (EB) and progesterone (P). Eight weeks following castration, noTduringP and TduringP males were primed with EB and P and tested for lordosis behavior with a stud male. Behavioral responses of males were compared to that of ovariectomized (OVX) and hormone primed females. NoTduringP males and OVX females displayed significantly shorter lordosis latencies than TduringP males. Experiment 3 investigated whether prolonged T treatment or sexual experience could reverse the deficits in masculine behavior caused by the absence of T during puberty. Extending the T treatment from 7 to 17 days did not ameliorate the deficits in masculine behavior caused by absence of T during puberty. Similarly, when the level of sexual experience was increased from one to three tests, the deficits in masculine behavior persisted. These studies demonstrate that gonadal hormones during puberty further masculinize and defeminize neural circuits and behavioral responsiveness to steroid hormones in adulthood.","container-title":"Hormones and Behavior","DOI":"10.1016/j.yhbeh.2003.12.007","ISSN":"0018-506X","issue":"4","journalAbbreviation":"Hormones and Behavior","language":"en","page":"242-249","source":"ScienceDirect","title":"Gonadal hormones masculinize and defeminize reproductive behaviors during puberty in the male Syrian hamster","volume":"45","author":[{"family":"Schulz","given":"Kalynn M"},{"family":"Richardson","given":"Heather N"},{"family":"Zehr","given":"Julia L"},{"family":"Osetek","given":"Andrew J"},{"family":"Menard","given":"Tami A"},{"family":"Sisk","given":"Cheryl L"}],"issued":{"date-parts":[["2004",4,1]]}}}],"schema":"https://github.com/citation-style-language/schema/raw/master/csl-citation.json"} </w:instrText>
      </w:r>
      <w:r w:rsidR="00191B76">
        <w:fldChar w:fldCharType="separate"/>
      </w:r>
      <w:r w:rsidR="00191B76" w:rsidRPr="00191B76">
        <w:rPr>
          <w:rFonts w:ascii="Calibri" w:hAnsi="Calibri" w:cs="Calibri"/>
        </w:rPr>
        <w:t>(96)</w:t>
      </w:r>
      <w:r w:rsidR="00191B76">
        <w:fldChar w:fldCharType="end"/>
      </w:r>
      <w:r w:rsidR="00191B76">
        <w:t>.</w:t>
      </w:r>
      <w:r w:rsidR="004626C1">
        <w:t xml:space="preserve"> However, our </w:t>
      </w:r>
      <w:r w:rsidR="004626C1">
        <w:lastRenderedPageBreak/>
        <w:t xml:space="preserve">previous work clearly demonstrates that </w:t>
      </w:r>
      <w:r w:rsidR="005871D0">
        <w:t>gonadal hormones have little impact on stress-induced social avoidance</w:t>
      </w:r>
      <w:r w:rsidR="00501F3A">
        <w:t xml:space="preserve"> </w:t>
      </w:r>
      <w:r w:rsidR="00501F3A">
        <w:fldChar w:fldCharType="begin"/>
      </w:r>
      <w:r w:rsidR="00501F3A">
        <w:instrText xml:space="preserve"> ADDIN ZOTERO_ITEM CSL_CITATION {"citationID":"SPLBLlo6","properties":{"formattedCitation":"(43, 49)","plainCitation":"(43, 49)","noteIndex":0},"citationItems":[{"id":"dX9booob/6UuRvWMt","uris":["http://zotero.org/users/local/0DUDweI1/items/TUWL3VJ6"],"itemData":{"id":"dX9booob/6UuRvWMt","type":"article-journal","title":"Sex differences in stress-induced social withdrawal: independence from adult gonadal hormones and inhibition of female phenotype by corncob bedding","container-title":"Hormones and Behavior","page":"543-550","volume":"63","issue":"3","source":"PMC","abstract":"There is compelling evidence for important sex differences in behavioral and hormonal responses to psychosocial stress. Here we examined the effects of gonadal hormones on behavioral responses to social defeat stress in monogamous California mice (Peromyscus californicus). Three episodes of social defeat induced social withdrawal in intact females but not males. Gonadectomy blocked corticosterone responses to defeat in females and sensitized male corticosterone responses. However, gonadectomy had no effects on social interaction behavior, suggesting that social withdrawal is not dependent on gonadal hormones in the adult California mouse. In contrast, defeat reduced exploratory behavior in the open field test for intact but not castrated males. We also examined the effects of social defeat on social interaction behavior when California mice were raised on corncob bedding, which has estrogenic properties. In this dataset of over 300 mice, we observed that social defeat did not induce social withdrawal when females were raised on corncob bedding. This finding suggests that the use of corncob in rodent studies could mask important sex differences in the effects of stress on brain and behavior. Although gonadal hormones do not affect social withdrawal behavior in adults, our data suggest that hormones may act earlier in development to induce a more resilient social phenotype.","DOI":"10.1016/j.yhbeh.2013.01.011","ISSN":"0018-506X 1095-6867","author":[{"family":"Trainor","given":"Brian C."},{"family":"Takahashi","given":"Elizabeth Y."},{"family":"Campi","given":"Katharine L."},{"family":"Florez","given":"Stefani A."},{"family":"Greenberg","given":"Gian D."},{"family":"Laman-Maharg","given":"Abigail"},{"family":"Laredo","given":"Sarah A."},{"family":"Orr","given":"Veronica N."},{"family":"Silva","given":"Andrea L."},{"family":"Steinman","given":"Michael Q."}],"issued":{"date-parts":[["2013"]],"season":"04"}}},{"id":"dX9booob/wOP57c4u","uris":["http://zotero.org/users/local/0DUDweI1/items/7LU9HPCS"],"itemData":{"id":"dX9booob/wOP57c4u","type":"article-journal","abstract":"&lt;p&gt;Stressful life experiences are known to be a precipitating factor for many mental disorders. The social defeat model induces behavioral responses in rodents (e.g. reduced social interaction) that are similar to behavioral patterns associated with mood disorders. The model has contributed to the discovery of novel mechanisms regulating behavioral responses to stress, but its utility has been largely limited to males. This is disadvantageous because most mood disorders have a higher incidence in women versus men. Male and female California mice (&lt;italic&gt;Peromyscus californicus&lt;/italic&gt;) aggressively defend territories, which allowed us to observe the effects of social defeat in both sexes. In two experiments, mice were exposed to three social defeat or control episodes. Mice were then behaviorally phenotyped, and indirect markers of brain activity and corticosterone responses to a novel social stimulus were assessed. Sex differences in behavioral responses to social stress were long lasting (4 wks). Social defeat reduced social interaction responses in females but not males. In females, social defeat induced an increase in the number of phosphorylated CREB positive cells in the nucleus accumbens shell after exposure to a novel social stimulus. This effect of defeat was not observed in males. The effects of defeat in females were limited to social contexts, as there were no differences in exploratory behavior in the open field or light-dark box test. These data suggest that California mice could be a useful model for studying sex differences in behavioral responses to stress, particularly in neurobiological mechanisms that are involved with the regulation of social behavior.&lt;/p&gt;","container-title":"PLoS ONE","DOI":"10.1371/journal.pone.0017405","issue":"2","page":"e17405","title":"Sex Differences in Social Interaction Behavior Following Social Defeat Stress in the Monogamous California Mouse (&lt;italic&gt;Peromyscus californicus&lt;/italic&gt;)","volume":"6","author":[{"family":"Trainor","given":"Brian C."},{"family":"Pride","given":"Michael C."},{"family":"Villalon Landeros","given":"Rosalina"},{"family":"Knoblauch","given":"Nicholas W."},{"family":"Takahashi","given":"Elizabeth Y."},{"family":"Silva","given":"Andrea L."},{"family":"Crean","given":"Katie K."}],"issued":{"date-parts":[["2011"]]}}}],"schema":"https://github.com/citation-style-language/schema/raw/master/csl-citation.json"} </w:instrText>
      </w:r>
      <w:r w:rsidR="00501F3A">
        <w:fldChar w:fldCharType="separate"/>
      </w:r>
      <w:r w:rsidR="00501F3A" w:rsidRPr="00501F3A">
        <w:rPr>
          <w:rFonts w:ascii="Calibri" w:hAnsi="Calibri" w:cs="Calibri"/>
        </w:rPr>
        <w:t>(43, 49)</w:t>
      </w:r>
      <w:r w:rsidR="00501F3A">
        <w:fldChar w:fldCharType="end"/>
      </w:r>
      <w:r w:rsidR="005871D0">
        <w:t xml:space="preserve">. </w:t>
      </w:r>
      <w:r w:rsidR="00191B76">
        <w:t xml:space="preserve"> </w:t>
      </w:r>
      <w:r w:rsidR="009F23DF">
        <w:t>Although testosterone reduc</w:t>
      </w:r>
      <w:r w:rsidR="66B4FF16">
        <w:t>es</w:t>
      </w:r>
      <w:r w:rsidR="009F23DF">
        <w:t xml:space="preserve"> the impact of stress on social behaviors, </w:t>
      </w:r>
      <w:r w:rsidR="007E5202">
        <w:t xml:space="preserve">social defeat </w:t>
      </w:r>
      <w:r w:rsidR="707620F5">
        <w:t xml:space="preserve">still </w:t>
      </w:r>
      <w:r w:rsidR="007E5202">
        <w:t xml:space="preserve">has strong effects on male California mice. </w:t>
      </w:r>
      <w:r w:rsidR="006234F0">
        <w:t>Social defeat induces deficits in reversal learning in m</w:t>
      </w:r>
      <w:r w:rsidR="0083638C">
        <w:t>ale</w:t>
      </w:r>
      <w:r w:rsidR="00A20981">
        <w:t>,</w:t>
      </w:r>
      <w:r w:rsidR="0083638C">
        <w:t xml:space="preserve"> but not female California mice</w:t>
      </w:r>
      <w:r w:rsidR="00B83643">
        <w:t xml:space="preserve"> </w:t>
      </w:r>
      <w:r w:rsidR="00F63FF9">
        <w:fldChar w:fldCharType="begin"/>
      </w:r>
      <w:r w:rsidR="00191B76">
        <w:instrText xml:space="preserve"> ADDIN ZOTERO_ITEM CSL_CITATION {"citationID":"dqHQmY49","properties":{"formattedCitation":"(97)","plainCitation":"(97)","noteIndex":0},"citationItems":[{"id":1450,"uris":["http://zotero.org/users/5661202/items/57FFTKS6"],"itemData":{"id":1450,"type":"article-journal","abstract":"? 2015 Federation of European Neuroscience Societies and John Wiley &amp; Sons Ltd.Behavioral flexibility is a component of executive functioning that allows individuals to adapt to changing environmental conditions. Independent lines of research indicate that the mu opioid receptor (MOR) is an important mediator of behavioral flexibility and responses to psychosocial stress. The current study bridges these two lines of research and tests the extent to which social defeat and MOR affect behavioral flexibility and whether sex moderates these effects in California mice (Peromyscus californicus). Males and females assigned to social defeat or control conditions were tested in a Barnes maze. In males, defeat impaired behavioral flexibility but not acquisition. Female performance was unaffected by defeat. MOR binding in defeated and control mice in the orbitofrontal cortex (OFC), striatum and hippocampus was examined via autoradiography. Stressed males had reduced MOR binding in the OFC whereas females were unaffected. The MOR antagonist beta-funaltrexamine (1?mg/kg) impaired performance in males na?ve to defeat during the reversal phase but had no effect on females. Finally, we examined the effects of the MOR agonist morphine (2.5 and 5?mg/kg) on stressed mice. As expected, morphine improved behavioral flexibility in stressed males. The stress-induced deficits in behavioral flexibility in males are consistent with a proactive coping strategy, including previous observations that stressed male California mice exhibit strong social approach and aggression. Our pharmacological data suggest that a down-regulation of MOR signaling in males may contribute to sex differences in behavioral flexibility following stress. This is discussed in the framework of coping strategies for individuals with mood disorders.","container-title":"European Journal of Neuroscience","DOI":"10.1111/ejn.12824","ISSN":"14609568 0953816X","issue":"4","title":"Effects of defeat stress on behavioral flexibility in males and females: Modulation by the mu-opioid receptor","volume":"41","author":[{"family":"Laredo","given":"S.A."},{"family":"Steinman","given":"M.Q."},{"family":"Robles","given":"C.F."},{"family":"Ferrer","given":"E."},{"family":"Ragen","given":"B.J."},{"family":"Trainor","given":"B.C."}],"issued":{"date-parts":[["2015"]]}}}],"schema":"https://github.com/citation-style-language/schema/raw/master/csl-citation.json"} </w:instrText>
      </w:r>
      <w:r w:rsidR="00F63FF9">
        <w:fldChar w:fldCharType="separate"/>
      </w:r>
      <w:r w:rsidR="00191B76" w:rsidRPr="00191B76">
        <w:rPr>
          <w:rFonts w:ascii="Calibri" w:hAnsi="Calibri" w:cs="Calibri"/>
        </w:rPr>
        <w:t>(97)</w:t>
      </w:r>
      <w:r w:rsidR="00F63FF9">
        <w:fldChar w:fldCharType="end"/>
      </w:r>
      <w:r w:rsidR="00DA55DE">
        <w:t xml:space="preserve"> and </w:t>
      </w:r>
      <w:r w:rsidR="00F72005">
        <w:t xml:space="preserve">future </w:t>
      </w:r>
      <w:r w:rsidR="00A20981">
        <w:t>work is</w:t>
      </w:r>
      <w:r w:rsidR="00F72005">
        <w:t xml:space="preserve"> needed to </w:t>
      </w:r>
      <w:r w:rsidR="00A20981">
        <w:t>assess</w:t>
      </w:r>
      <w:r w:rsidR="00F72005">
        <w:t xml:space="preserve"> whether this sex difference is mediated by androgens</w:t>
      </w:r>
      <w:r w:rsidR="00565378">
        <w:t>.</w:t>
      </w:r>
      <w:r w:rsidR="0052345E">
        <w:t xml:space="preserve"> Social defeat also induces a conditioned defeat phenotype in both males and females</w:t>
      </w:r>
      <w:r w:rsidR="00D95539">
        <w:t xml:space="preserve"> </w:t>
      </w:r>
      <w:r w:rsidR="00F63FF9">
        <w:fldChar w:fldCharType="begin"/>
      </w:r>
      <w:r w:rsidR="00F63FF9">
        <w:instrText xml:space="preserve"> ADDIN ZOTERO_ITEM CSL_CITATION {"citationID":"TskYqQtG","properties":{"formattedCitation":"(68)","plainCitation":"(68)","noteIndex":0},"citationItems":[{"id":1442,"uris":["http://zotero.org/users/5661202/items/ZNGNGDLL"],"itemData":{"id":1442,"type":"article-journal","abstract":"? 2014 Elsevier Ltd.Vasopressin signaling has important effects on the regulation of social behaviors and stress responses, and is considered a promising pathway to target for new therapeutics of stress-induced psychiatric disorders. Although there is evidence for sex differences in the behavioral effects of arginine vasopressin (AVP), few data have directly compared the effects of stress on endogenous AVP signaling in males and females. We used California mice (. Peromyscus californicus) to study the short and long term effects of social defeat stress on AVP immunoreactive cells in the paraventricular nucleus (PVN) and the posteromedial bed nucleus of the stria terminalis (BNSTmp). Acute exposure to defeat increased AVP/c-fos cells in the PVN and SON of both males and females. In contrast, there were sex differences in the long term effects of defeat. Males but not females exposed to defeat had less avp mRNA in the PVN, and in two experiments defeat reduced the number of AVP positive cells in the caudal PVN of males but not females. Interestingly, during relatively benign social encounters with a target mouse, there was a rapid decrease in AVP percent staining (including cell bodies and fibers) in the PVN of males but not females. Defeat reduced AVP percent staining in males, but did not block the socially induced decrease in percent staining. When mice were tested in resident-intruder tests, males exposed to defeat were no less aggressive than control males whereas aggression was abolished in females. However, bouts of aggression were positively correlated with the number of AVP neurons in the BNSTmp of control males but not stressed males, suggesting that different mechanisms mediate aggression in control and stressed males. These data show that while acute AVP responses to defeat are similar in males and females, the long term effects of defeat on AVP are stronger in males.","container-title":"Psychoneuroendocrinology","DOI":"10.1016/j.psyneuen.2014.09.009","ISSN":"18733360 03064530","title":"Hypothalamic vasopressin systems are more sensitive to the long term effects of social defeat in males versus females","volume":"51","author":[{"family":"Steinman","given":"M.Q."},{"family":"Laredo","given":"S.A."},{"family":"Lopez","given":"E.M."},{"family":"Manning","given":"C.E."},{"family":"Hao","given":"R.C."},{"family":"Doig","given":"I.E."},{"family":"Campi","given":"K.L."},{"family":"Flowers","given":"A.E."},{"family":"Knight","given":"J.K."},{"family":"Trainor","given":"B.C."}],"issued":{"date-parts":[["2015"]]}}}],"schema":"https://github.com/citation-style-language/schema/raw/master/csl-citation.json"} </w:instrText>
      </w:r>
      <w:r w:rsidR="00F63FF9">
        <w:fldChar w:fldCharType="separate"/>
      </w:r>
      <w:r w:rsidR="001F2191" w:rsidRPr="3865CA10">
        <w:rPr>
          <w:rFonts w:ascii="Calibri" w:hAnsi="Calibri" w:cs="Calibri"/>
        </w:rPr>
        <w:t>(68)</w:t>
      </w:r>
      <w:r w:rsidR="00F63FF9">
        <w:fldChar w:fldCharType="end"/>
      </w:r>
      <w:r w:rsidR="0052345E">
        <w:t>, similar to hamsters</w:t>
      </w:r>
      <w:r w:rsidR="00D95539">
        <w:t xml:space="preserve"> </w:t>
      </w:r>
      <w:r w:rsidR="00F63FF9">
        <w:fldChar w:fldCharType="begin"/>
      </w:r>
      <w:r w:rsidR="00191B76">
        <w:instrText xml:space="preserve"> ADDIN ZOTERO_ITEM CSL_CITATION {"citationID":"8U3EnxmA","properties":{"formattedCitation":"(98)","plainCitation":"(98)","noteIndex":0},"citationItems":[{"id":6979,"uris":["http://zotero.org/users/5661202/items/RLE4FV2D"],"itemData":{"id":6979,"type":"article-journal","abstract":"A brief exposure to social defeat in male Syrian hamsters (Mesocricetus auratus) leads to profound changes in the subsequent agonistic behavior exhibited by the defeated animals. Following defeat in the home cage of an aggressive conspecific, male hamsters will subsequently fail to defend their home territory even if the intruder is a smaller, nonaggressive male. This phenomenon has been called conditioned defeat. In Experiment 1, we examined the duration of conditioned defeat by repeatedly testing (every 3-5 days) defeated hamsters with a nonaggressive intruder. We found that conditioned defeat occurs in all defeated male hamsters and persists for a prolonged period of time (at least 33 days) in the majority of male hamsters tested despite the fact that these animals are never attacked by the nonaggressive intruders. In Experiment 2, we examined whether conditioned defeat could be induced in female Syrian hamsters. While conditioned defeat occurred in some females, they displayed only low levels of submissive/defensive behavior and, in contrast to males, the conditioned defeat response did not persist beyond the first test. These results suggest that in male hamsters conditioned defeat is a profound, persistent behavioral change characterized by a total absence of territorial aggression and by the frequent display of submissive and defensive behaviors. Conversely, social defeat in female hamsters does not appear to induce long-term behavioral changes. Finally, in Experiment 3, we determined that plasma adrenocorticotropin-like immunoreactivity increases in females following social defeat in a manner similar to that seen in males, suggesting that the disparate behavioral reactions of males and females are not due to sex differences in the release of, or response to, plasma adrenocorticotropin.","container-title":"Hormones and Behavior","DOI":"10.1016/j.yhbeh.2003.05.001","ISSN":"0018-506X","issue":"3","journalAbbreviation":"Horm Behav","language":"eng","note":"PMID: 14609551","page":"293-299","source":"PubMed","title":"Conditioned defeat in male and female Syrian hamsters","volume":"44","author":[{"family":"Huhman","given":"Kim L."},{"family":"Solomon","given":"Matia B."},{"family":"Janicki","given":"Marcus"},{"family":"Harmon","given":"Alvin C."},{"family":"Lin","given":"Stacie M."},{"family":"Israel","given":"Jeris E."},{"family":"Jasnow","given":"Aaron M."}],"issued":{"date-parts":[["2003",9]]}}}],"schema":"https://github.com/citation-style-language/schema/raw/master/csl-citation.json"} </w:instrText>
      </w:r>
      <w:r w:rsidR="00F63FF9">
        <w:fldChar w:fldCharType="separate"/>
      </w:r>
      <w:r w:rsidR="00191B76" w:rsidRPr="00191B76">
        <w:rPr>
          <w:rFonts w:ascii="Calibri" w:hAnsi="Calibri" w:cs="Calibri"/>
        </w:rPr>
        <w:t>(98)</w:t>
      </w:r>
      <w:r w:rsidR="00F63FF9">
        <w:fldChar w:fldCharType="end"/>
      </w:r>
      <w:r w:rsidR="0052345E">
        <w:t xml:space="preserve">. Thus, the extent to which androgens </w:t>
      </w:r>
      <w:r w:rsidR="006F53CC">
        <w:t>blunt the effects of social defeat on behavior is limited.</w:t>
      </w:r>
    </w:p>
    <w:p w14:paraId="506A333E" w14:textId="77777777" w:rsidR="00F63FF9" w:rsidRPr="00BC0B96" w:rsidRDefault="00F63FF9" w:rsidP="00F63FF9">
      <w:pPr>
        <w:spacing w:line="360" w:lineRule="auto"/>
      </w:pPr>
    </w:p>
    <w:p w14:paraId="153CBBB3" w14:textId="77777777" w:rsidR="00F63FF9" w:rsidRPr="00BC0B96" w:rsidRDefault="00F63FF9" w:rsidP="00F63FF9">
      <w:pPr>
        <w:spacing w:line="360" w:lineRule="auto"/>
        <w:rPr>
          <w:rFonts w:eastAsia="Calibri" w:cstheme="minorHAnsi"/>
          <w:b/>
          <w:bCs/>
        </w:rPr>
      </w:pPr>
      <w:r w:rsidRPr="00BC0B96">
        <w:rPr>
          <w:rFonts w:eastAsia="Calibri" w:cstheme="minorHAnsi"/>
          <w:b/>
          <w:bCs/>
        </w:rPr>
        <w:t xml:space="preserve">Functional implications </w:t>
      </w:r>
    </w:p>
    <w:p w14:paraId="55F98443" w14:textId="19A1C948" w:rsidR="00F63FF9" w:rsidRPr="00BC0B96" w:rsidRDefault="00F63FF9" w:rsidP="00723F97">
      <w:pPr>
        <w:spacing w:line="360" w:lineRule="auto"/>
        <w:rPr>
          <w:rFonts w:eastAsia="Calibri"/>
        </w:rPr>
      </w:pPr>
      <w:r w:rsidRPr="00BC0B96">
        <w:rPr>
          <w:rStyle w:val="eop"/>
        </w:rPr>
        <w:t xml:space="preserve">Steroid hormones alter brain development during puberty </w:t>
      </w:r>
      <w:r w:rsidRPr="00BC0B96">
        <w:rPr>
          <w:rStyle w:val="eop"/>
        </w:rPr>
        <w:fldChar w:fldCharType="begin"/>
      </w:r>
      <w:r w:rsidR="00C956A6" w:rsidRPr="00BC0B96">
        <w:rPr>
          <w:rStyle w:val="eop"/>
        </w:rPr>
        <w:instrText xml:space="preserve"> ADDIN ZOTERO_ITEM CSL_CITATION {"citationID":"gd6Bwo1s","properties":{"formattedCitation":"(23, 25, 27)","plainCitation":"(23, 25, 27)","noteIndex":0},"citationItems":[{"id":6814,"uris":["http://zotero.org/users/5661202/items/R7T7DDQ9"],"itemData":{"id":6814,"type":"article-journal","abstract":"New cells, including neurons, arise in several brain regions during puberty in rats. Sex differences in pubertal addition of cells coincide with adult sexual dimorphisms: for each region, the sex that gains more cells during puberty has a larger volume in adulthood. Removing gonadal hormones before puberty eliminates these sex differences, indicating that gonadal steroids direct the addition of new cells during puberty to maintain and accentuate sexual dimorphisms in the adult brain.","container-title":"Nature Neuroscience","DOI":"10.1038/nn.2178","ISSN":"1546-1726","issue":"9","language":"en","license":"2008 Nature Publishing Group","page":"995-997","source":"www.nature.com","title":"Pubertal hormones modulate the addition of new cells to sexually dimorphic brain regions","volume":"11","author":[{"family":"Ahmed","given":"Eman I."},{"family":"Zehr","given":"Julia L."},{"family":"Schulz","given":"Kalynn M."},{"family":"Lorenz","given":"Betty H."},{"family":"DonCarlos","given":"Lydia L."},{"family":"Sisk","given":"Cheryl L."}],"issued":{"date-parts":[["2008",9]]}}},{"id":6519,"uris":["http://zotero.org/users/5661202/items/A65TMUMH"],"itemData":{"id":6519,"type":"article-journal","abstract":"Adolescence is a unique period of development, marked by maturation of the prefrontal cortex (PFC), a region important for executive functioning. During this time, the human PFC decreases in overall volume and thickness. Likewise in adolescent rodents, losses of neurons, dendrites, dendritic spines and neurotransmitter receptors have been documented within the medial prefrontal cortex (mPFC), sometimes with sex and layer specificity. However, changes in the number of synapses during this time have not been examined. In the present study, we stereologically quantified the number of synaptophysin-immunoreactive boutons in the male and female rat mPFC across multiple time points from the juvenile period through adulthood (postnatal days (P) 25, 35, 45, 60 and 90). In females, there was a significant decrease in synaptophysin boutons between P35 and P45, coinciding with the onset of puberty. In males, there was no significant main effect of age on synaptophysin boutons; however, in both males and females, pubertal onset was associated with significant synaptic losses. These results suggest that puberty is a critical period for synaptic pruning within the rat mPFC, potentially contributing to maturation of adolescent executive function. Synapse 70:361-368, 2016. © 2016 Wiley Periodicals, Inc.","container-title":"Synapse (New York, N.Y.)","DOI":"10.1002/syn.21909","ISSN":"1098-2396","issue":"9","journalAbbreviation":"Synapse","language":"eng","note":"PMID: 27103097\nPMCID: PMC4945496","page":"361-368","source":"PubMed","title":"Synaptic number changes in the medial prefrontal cortex across adolescence in male and female rats: A role for pubertal onset","title-short":"Synaptic number changes in the medial prefrontal cortex across adolescence in male and female rats","volume":"70","author":[{"family":"Drzewiecki","given":"Carly M."},{"family":"Willing","given":"Jari"},{"family":"Juraska","given":"Janice M."}],"issued":{"date-parts":[["2016"]]}}},{"id":6520,"uris":["http://zotero.org/users/5661202/items/MXRESRLJ"],"itemData":{"id":6520,"type":"article-journal","abstract":"The maturation of the prefrontal cortex (PFC) during adolescence is thought to be important for cognitive and affective development and mental health risk. Whereas many summaries of adolescent development have focused on dendritic spine pruning and gray matter thinning in the PFC during adolescence, we highlight recent rodent data from our laboratory and others to call attention to continued synapse formation and plasticity in the adolescent period in specific cell types and circuits. In particular, we highlight changes in inhibitory neurotransmission onto intratelencephalic (IT-type) projecting cortical neurons and late expansion of connectivity between the amygdala and PFC and the ventral tegmental area and PFC. Continued work on these \"late blooming\" synapses in specific cell types and circuits, and their interrelationships, will illuminate new opportunities for understanding and shaping the biology of adolescent development. We also address which aspects of adolescent PFC development are dependent on pubertal processes.","container-title":"Cold Spring Harbor Symposia on Quantitative Biology","DOI":"10.1101/sqb.2018.83.037507","ISSN":"1943-4456","journalAbbreviation":"Cold Spring Harb. Symp. Quant. Biol.","language":"eng","note":"PMID: 30674651","source":"PubMed","title":"Adolescence and \"Late Blooming\" Synapses of the Prefrontal Cortex","author":[{"family":"Delevich","given":"Kristen"},{"family":"Thomas","given":"A. Wren"},{"family":"Wilbrecht","given":"Linda"}],"issued":{"date-parts":[["2019",1,23]]}}}],"schema":"https://github.com/citation-style-language/schema/raw/master/csl-citation.json"} </w:instrText>
      </w:r>
      <w:r w:rsidRPr="00BC0B96">
        <w:rPr>
          <w:rStyle w:val="eop"/>
        </w:rPr>
        <w:fldChar w:fldCharType="separate"/>
      </w:r>
      <w:r w:rsidR="00C956A6" w:rsidRPr="00BC0B96">
        <w:rPr>
          <w:rFonts w:ascii="Calibri" w:hAnsi="Calibri" w:cs="Calibri"/>
        </w:rPr>
        <w:t>(23, 25, 27)</w:t>
      </w:r>
      <w:r w:rsidRPr="00BC0B96">
        <w:rPr>
          <w:rStyle w:val="eop"/>
        </w:rPr>
        <w:fldChar w:fldCharType="end"/>
      </w:r>
      <w:r w:rsidRPr="00BC0B96">
        <w:rPr>
          <w:rStyle w:val="eop"/>
        </w:rPr>
        <w:t xml:space="preserve">, </w:t>
      </w:r>
      <w:r w:rsidR="0016252E" w:rsidRPr="00BC0B96">
        <w:rPr>
          <w:rStyle w:val="eop"/>
        </w:rPr>
        <w:t>and our work indicates that</w:t>
      </w:r>
      <w:r w:rsidR="00026155" w:rsidRPr="00BC0B96">
        <w:rPr>
          <w:rStyle w:val="eop"/>
        </w:rPr>
        <w:t xml:space="preserve"> s</w:t>
      </w:r>
      <w:r w:rsidRPr="00BC0B96">
        <w:rPr>
          <w:rStyle w:val="eop"/>
        </w:rPr>
        <w:t xml:space="preserve">ex differences in the effects of stress on social behavior are </w:t>
      </w:r>
      <w:r w:rsidR="00737493" w:rsidRPr="00BC0B96">
        <w:rPr>
          <w:rStyle w:val="eop"/>
        </w:rPr>
        <w:t xml:space="preserve">affected </w:t>
      </w:r>
      <w:r w:rsidRPr="00BC0B96">
        <w:rPr>
          <w:rStyle w:val="eop"/>
        </w:rPr>
        <w:t xml:space="preserve">by pubertal androgen exposure. Increased sensitivity to social stress coincided with more generalized reactivity of BNST neurons during social engagement. </w:t>
      </w:r>
      <w:r w:rsidRPr="00BC0B96">
        <w:t xml:space="preserve">Importantly, the effects </w:t>
      </w:r>
      <w:r w:rsidR="7380B08A" w:rsidRPr="00BC0B96">
        <w:t>of</w:t>
      </w:r>
      <w:r w:rsidRPr="00BC0B96">
        <w:t xml:space="preserve"> pubertal androgens on social behavior were only apparent following exposure to social defeat. This demonstrates that organizational effects of pubertal hormones can cause latent vulnerabilities that are only revealed after stressful social experiences. Our results suggest that </w:t>
      </w:r>
      <w:r w:rsidRPr="00BC0B96">
        <w:rPr>
          <w:rFonts w:eastAsia="Calibri"/>
        </w:rPr>
        <w:t>it will be worthwhile to consider whether testosterone levels during adolescence predict behavioral or neural responses to stressors in adulthood. Overall, our research sheds light on how androgens shape the complex interplay between brain circuits and behavioral sensitivity to stress.</w:t>
      </w:r>
    </w:p>
    <w:p w14:paraId="07F387DB" w14:textId="77777777" w:rsidR="00723F97" w:rsidRPr="00BC0B96" w:rsidRDefault="00723F97" w:rsidP="00723F97">
      <w:pPr>
        <w:pBdr>
          <w:top w:val="nil"/>
          <w:left w:val="nil"/>
          <w:bottom w:val="nil"/>
          <w:right w:val="nil"/>
          <w:between w:val="nil"/>
        </w:pBdr>
        <w:spacing w:after="0" w:line="360" w:lineRule="auto"/>
        <w:contextualSpacing/>
        <w:rPr>
          <w:rFonts w:ascii="Arial" w:hAnsi="Arial" w:cs="Arial"/>
          <w:b/>
          <w:sz w:val="20"/>
          <w:szCs w:val="20"/>
        </w:rPr>
      </w:pPr>
    </w:p>
    <w:p w14:paraId="37B52A5D" w14:textId="6DAC5987" w:rsidR="00E6133D" w:rsidRPr="00BC0B96" w:rsidRDefault="00E6133D" w:rsidP="00723F97">
      <w:pPr>
        <w:pBdr>
          <w:top w:val="nil"/>
          <w:left w:val="nil"/>
          <w:bottom w:val="nil"/>
          <w:right w:val="nil"/>
          <w:between w:val="nil"/>
        </w:pBdr>
        <w:spacing w:after="0" w:line="360" w:lineRule="auto"/>
        <w:contextualSpacing/>
        <w:rPr>
          <w:rFonts w:ascii="Arial" w:hAnsi="Arial" w:cs="Arial"/>
          <w:sz w:val="20"/>
          <w:szCs w:val="20"/>
        </w:rPr>
      </w:pPr>
      <w:r w:rsidRPr="00BC0B96">
        <w:rPr>
          <w:rFonts w:ascii="Arial" w:hAnsi="Arial" w:cs="Arial"/>
          <w:b/>
          <w:sz w:val="20"/>
          <w:szCs w:val="20"/>
        </w:rPr>
        <w:t>Materials and Methods</w:t>
      </w:r>
    </w:p>
    <w:p w14:paraId="3C2712AB" w14:textId="77777777" w:rsidR="00E6133D" w:rsidRPr="00BC0B96" w:rsidRDefault="00E6133D" w:rsidP="00723F97">
      <w:pPr>
        <w:pBdr>
          <w:top w:val="nil"/>
          <w:left w:val="nil"/>
          <w:bottom w:val="nil"/>
          <w:right w:val="nil"/>
          <w:between w:val="nil"/>
        </w:pBdr>
        <w:spacing w:after="0" w:line="360" w:lineRule="auto"/>
        <w:contextualSpacing/>
        <w:rPr>
          <w:rFonts w:ascii="Arial" w:hAnsi="Arial" w:cs="Arial"/>
          <w:b/>
          <w:sz w:val="20"/>
          <w:szCs w:val="20"/>
        </w:rPr>
      </w:pPr>
    </w:p>
    <w:p w14:paraId="2287A553" w14:textId="105B7945" w:rsidR="008B112A" w:rsidRPr="00BC0B96" w:rsidRDefault="7493D52E" w:rsidP="4828ED11">
      <w:pPr>
        <w:spacing w:line="360" w:lineRule="auto"/>
        <w:rPr>
          <w:u w:val="single"/>
        </w:rPr>
      </w:pPr>
      <w:r w:rsidRPr="00BC0B96">
        <w:rPr>
          <w:u w:val="single"/>
        </w:rPr>
        <w:t>Animals</w:t>
      </w:r>
    </w:p>
    <w:p w14:paraId="48DE1B09" w14:textId="77777777" w:rsidR="008B112A" w:rsidRPr="00BC0B96" w:rsidRDefault="008B112A" w:rsidP="00723F97">
      <w:pPr>
        <w:autoSpaceDE w:val="0"/>
        <w:autoSpaceDN w:val="0"/>
        <w:adjustRightInd w:val="0"/>
        <w:spacing w:line="360" w:lineRule="auto"/>
      </w:pPr>
      <w:r w:rsidRPr="00BC0B96">
        <w:t>All studies were conducted with California mice (</w:t>
      </w:r>
      <w:r w:rsidRPr="00BC0B96">
        <w:rPr>
          <w:i/>
          <w:iCs/>
        </w:rPr>
        <w:t>Peromyscus californicus</w:t>
      </w:r>
      <w:r w:rsidRPr="00BC0B96">
        <w:t>) raised in a colony at UC Davis. Mice were housed in same sex groups (2-4) in clear polypropylene cages with Sani-Chip bedding (Harlan Laboratories, Indianapolis, IN, USA), Nestlets (</w:t>
      </w:r>
      <w:proofErr w:type="spellStart"/>
      <w:r w:rsidRPr="00BC0B96">
        <w:t>Ancare</w:t>
      </w:r>
      <w:proofErr w:type="spellEnd"/>
      <w:r w:rsidRPr="00BC0B96">
        <w:t xml:space="preserve">, Bellmore, NY, USA) and Enviro-Dri (Eco-bedding, </w:t>
      </w:r>
      <w:proofErr w:type="spellStart"/>
      <w:r w:rsidRPr="00BC0B96">
        <w:t>Fibercore</w:t>
      </w:r>
      <w:proofErr w:type="spellEnd"/>
      <w:r w:rsidRPr="00BC0B96">
        <w:t xml:space="preserve">, Cleveland, OH, USA). Mice were kept on a 16L:8D light cycle and had </w:t>
      </w:r>
      <w:r w:rsidRPr="00BC0B96">
        <w:rPr>
          <w:i/>
          <w:iCs/>
        </w:rPr>
        <w:t>ad libitum</w:t>
      </w:r>
      <w:r w:rsidRPr="00BC0B96">
        <w:t xml:space="preserve"> access to food and water. All procedures were approved by the </w:t>
      </w:r>
      <w:r w:rsidRPr="00BC0B96">
        <w:lastRenderedPageBreak/>
        <w:t>Institutional Animal Care and Use Committee at the University of California, Davis and in accordance with National Institutes of Health (NIH) guidelines.</w:t>
      </w:r>
    </w:p>
    <w:p w14:paraId="0BBFFB1B" w14:textId="77777777" w:rsidR="008B112A" w:rsidRPr="00BC0B96" w:rsidRDefault="008B112A" w:rsidP="00723F97">
      <w:pPr>
        <w:autoSpaceDE w:val="0"/>
        <w:autoSpaceDN w:val="0"/>
        <w:adjustRightInd w:val="0"/>
        <w:spacing w:line="360" w:lineRule="auto"/>
        <w:rPr>
          <w:rFonts w:cstheme="minorHAnsi"/>
        </w:rPr>
      </w:pPr>
    </w:p>
    <w:p w14:paraId="5F10F9E6" w14:textId="77777777" w:rsidR="008B112A" w:rsidRPr="00BC0B96" w:rsidRDefault="008B112A" w:rsidP="00723F97">
      <w:pPr>
        <w:autoSpaceDE w:val="0"/>
        <w:autoSpaceDN w:val="0"/>
        <w:adjustRightInd w:val="0"/>
        <w:spacing w:line="360" w:lineRule="auto"/>
        <w:rPr>
          <w:rFonts w:cstheme="minorHAnsi"/>
        </w:rPr>
      </w:pPr>
      <w:r w:rsidRPr="00BC0B96">
        <w:rPr>
          <w:rFonts w:cstheme="minorHAnsi"/>
          <w:u w:val="single"/>
        </w:rPr>
        <w:t>Puberty Quantification</w:t>
      </w:r>
    </w:p>
    <w:p w14:paraId="294FC426" w14:textId="01C53DB2" w:rsidR="008B112A" w:rsidRPr="00BC0B96" w:rsidRDefault="008B112A" w:rsidP="00723F97">
      <w:pPr>
        <w:autoSpaceDE w:val="0"/>
        <w:autoSpaceDN w:val="0"/>
        <w:adjustRightInd w:val="0"/>
        <w:spacing w:line="360" w:lineRule="auto"/>
      </w:pPr>
      <w:r w:rsidRPr="00BC0B96">
        <w:t xml:space="preserve">     For measures of first vaginal opening, preputial separation, weight, and coat color mice were briefly anesthetized (&gt;1 minute isoflurane) before being weighed, photographed, and assessed for vaginal opening/preputial separation. A separate set of mice were euthanized to determine uterine or testes size. Trunk blood was </w:t>
      </w:r>
      <w:proofErr w:type="gramStart"/>
      <w:r w:rsidRPr="00BC0B96">
        <w:t>collected</w:t>
      </w:r>
      <w:proofErr w:type="gramEnd"/>
      <w:r w:rsidRPr="00BC0B96">
        <w:t xml:space="preserve"> and plasma obtained and frozen for hormone assays (see SI Appendix Supplementary Methods). We also quantified the transition from the juvenile pelage (dark gray) to adult (brown) adult pelage </w:t>
      </w:r>
      <w:r w:rsidRPr="00BC0B96">
        <w:fldChar w:fldCharType="begin"/>
      </w:r>
      <w:r w:rsidR="00191B76">
        <w:instrText xml:space="preserve"> ADDIN ZOTERO_ITEM CSL_CITATION {"citationID":"65cnRxvU","properties":{"formattedCitation":"(99)","plainCitation":"(99)","noteIndex":0},"citationItems":[{"id":"dX9booob/FsnqX3e4","uris":["http://zotero.org/users/local/0DUDweI1/items/2Q2PQ25U"],"itemData":{"id":1853,"type":"article-journal","container-title":"Journal of Experimental Zoology","DOI":"10.1002/jez.1400380103","ISSN":"1097-010X","issue":"1","language":"en","note":"_eprint: https://onlinelibrary.wiley.com/doi/pdf/10.1002/jez.1400380103","page":"45-107","source":"Wiley Online Library","title":"Studies of the pelage phases and of the nature of color variations in mice of the genus Peromyscus","volume":"38","author":[{"family":"Collins","given":"H. H."}],"issued":{"date-parts":[["1923"]]}}}],"schema":"https://github.com/citation-style-language/schema/raw/master/csl-citation.json"} </w:instrText>
      </w:r>
      <w:r w:rsidRPr="00BC0B96">
        <w:fldChar w:fldCharType="separate"/>
      </w:r>
      <w:r w:rsidR="00191B76" w:rsidRPr="00191B76">
        <w:rPr>
          <w:rFonts w:ascii="Calibri" w:hAnsi="Calibri" w:cs="Calibri"/>
          <w:sz w:val="24"/>
        </w:rPr>
        <w:t>(99)</w:t>
      </w:r>
      <w:r w:rsidRPr="00BC0B96">
        <w:fldChar w:fldCharType="end"/>
      </w:r>
      <w:r w:rsidRPr="00BC0B96">
        <w:t xml:space="preserve"> by quantifying digital images in ImageJ as previously described </w:t>
      </w:r>
      <w:r w:rsidRPr="00BC0B96">
        <w:fldChar w:fldCharType="begin"/>
      </w:r>
      <w:r w:rsidR="00191B76">
        <w:instrText xml:space="preserve"> ADDIN ZOTERO_ITEM CSL_CITATION {"citationID":"jXcv1d4Z","properties":{"formattedCitation":"(100)","plainCitation":"(100)","noteIndex":0},"citationItems":[{"id":"dX9booob/CTsK4j0S","uris":["http://zotero.org/users/local/0DUDweI1/items/9ERJLLIQ"],"itemData":{"id":1836,"type":"article-journal","abstract":"Coat-color proportions and patterns in mice are used as assays for many processes such as transgene expression, chimerism, and epigenetics. In many studies, coat-color readouts are estimated from subjective scoring of individual mice. Here we show a method by which mouse coat color is quantified as the proportion of coat shown in one or more digital images. We use the yellow-agouti mouse model of epigenetic variegation to demonstrate this method. We apply this method to live mice using a conventional digital camera for data collection. We use a raster graphics editing program to convert agouti regions of the coat to a standard, uniform, brown color and the yellow regions of the coat to a standard, uniform, yellow color. We use a second program to quantify the proportions of these standard colors. This method provides quantification that relates directly to the visual appearance of the live animal. It also provides an objective analysis with a traceable record, and it should allow for precise comparisons of mouse coats and mouse cohorts within and between studies.","container-title":"PLOS ONE","DOI":"10.1371/journal.pone.0005414","ISSN":"1932-6203","issue":"4","journalAbbreviation":"PLOS ONE","language":"en","note":"publisher: Public Library of Science","page":"e5414","source":"PLoS Journals","title":"A Method to Quantify Mouse Coat-Color Proportions","volume":"4","author":[{"family":"Ounpraseuth","given":"Songthip"},{"family":"Rafferty","given":"Tonya M."},{"family":"McDonald-Phillips","given":"Rachel E."},{"family":"Gammill","given":"Whitney M."},{"family":"Siegel","given":"Eric R."},{"family":"Wheeler","given":"Kristin L."},{"family":"Nilsson","given":"Erik A."},{"family":"Cooney","given":"Craig A."}],"issued":{"date-parts":[["2009",4,30]]}}}],"schema":"https://github.com/citation-style-language/schema/raw/master/csl-citation.json"} </w:instrText>
      </w:r>
      <w:r w:rsidRPr="00BC0B96">
        <w:fldChar w:fldCharType="separate"/>
      </w:r>
      <w:r w:rsidR="00191B76" w:rsidRPr="00191B76">
        <w:rPr>
          <w:rFonts w:ascii="Calibri" w:hAnsi="Calibri" w:cs="Calibri"/>
          <w:sz w:val="24"/>
        </w:rPr>
        <w:t>(100)</w:t>
      </w:r>
      <w:r w:rsidRPr="00BC0B96">
        <w:fldChar w:fldCharType="end"/>
      </w:r>
      <w:r w:rsidRPr="00BC0B96">
        <w:t xml:space="preserve">. </w:t>
      </w:r>
      <w:r w:rsidR="65CBF3D9" w:rsidRPr="00BC0B96">
        <w:t>All quantifications were done using non-experimental, unstressed mice.</w:t>
      </w:r>
    </w:p>
    <w:p w14:paraId="7424A63D" w14:textId="77777777" w:rsidR="008B112A" w:rsidRPr="00BC0B96" w:rsidRDefault="008B112A" w:rsidP="00723F97">
      <w:pPr>
        <w:spacing w:line="360" w:lineRule="auto"/>
      </w:pPr>
    </w:p>
    <w:p w14:paraId="3D0A7A75" w14:textId="77777777" w:rsidR="008B112A" w:rsidRPr="00BC0B96" w:rsidRDefault="008B112A" w:rsidP="00723F97">
      <w:pPr>
        <w:spacing w:line="360" w:lineRule="auto"/>
        <w:rPr>
          <w:u w:val="single"/>
        </w:rPr>
      </w:pPr>
      <w:r w:rsidRPr="00BC0B96">
        <w:rPr>
          <w:u w:val="single"/>
        </w:rPr>
        <w:t>Juvenile Social Defeat</w:t>
      </w:r>
    </w:p>
    <w:p w14:paraId="56089D90" w14:textId="24780C8F" w:rsidR="008B112A" w:rsidRPr="00BC0B96" w:rsidRDefault="008B112A" w:rsidP="00723F97">
      <w:pPr>
        <w:spacing w:line="360" w:lineRule="auto"/>
      </w:pPr>
      <w:r w:rsidRPr="00BC0B96">
        <w:t xml:space="preserve">     Male and female juveniles (PN34-36) underwent 3 consecutive days of social defeat stress (or control handling) as described previously </w:t>
      </w:r>
      <w:r w:rsidRPr="00BC0B96">
        <w:fldChar w:fldCharType="begin"/>
      </w:r>
      <w:r w:rsidR="00C327F5">
        <w:instrText xml:space="preserve"> ADDIN ZOTERO_ITEM CSL_CITATION {"citationID":"YStXLjH9","properties":{"formattedCitation":"(49)","plainCitation":"(49)","noteIndex":0},"citationItems":[{"id":"dX9booob/wOP57c4u","uris":["http://zotero.org/users/local/0DUDweI1/items/7LU9HPCS"],"itemData":{"id":1035,"type":"article-journal","abstract":"&lt;p&gt;Stressful life experiences are known to be a precipitating factor for many mental disorders. The social defeat model induces behavioral responses in rodents (e.g. reduced social interaction) that are similar to behavioral patterns associated with mood disorders. The model has contributed to the discovery of novel mechanisms regulating behavioral responses to stress, but its utility has been largely limited to males. This is disadvantageous because most mood disorders have a higher incidence in women versus men. Male and female California mice (&lt;italic&gt;Peromyscus californicus&lt;/italic&gt;) aggressively defend territories, which allowed us to observe the effects of social defeat in both sexes. In two experiments, mice were exposed to three social defeat or control episodes. Mice were then behaviorally phenotyped, and indirect markers of brain activity and corticosterone responses to a novel social stimulus were assessed. Sex differences in behavioral responses to social stress were long lasting (4 wks). Social defeat reduced social interaction responses in females but not males. In females, social defeat induced an increase in the number of phosphorylated CREB positive cells in the nucleus accumbens shell after exposure to a novel social stimulus. This effect of defeat was not observed in males. The effects of defeat in females were limited to social contexts, as there were no differences in exploratory behavior in the open field or light-dark box test. These data suggest that California mice could be a useful model for studying sex differences in behavioral responses to stress, particularly in neurobiological mechanisms that are involved with the regulation of social behavior.&lt;/p&gt;","container-title":"PLoS ONE","DOI":"10.1371/journal.pone.0017405","issue":"2","page":"e17405","title":"Sex Differences in Social Interaction Behavior Following Social Defeat Stress in the Monogamous California Mouse (&lt;italic&gt;Peromyscus californicus&lt;/italic&gt;)","volume":"6","author":[{"family":"Trainor","given":"Brian C."},{"family":"Pride","given":"Michael C."},{"family":"Villalon Landeros","given":"Rosalina"},{"family":"Knoblauch","given":"Nicholas W."},{"family":"Takahashi","given":"Elizabeth Y."},{"family":"Silva","given":"Andrea L."},{"family":"Crean","given":"Katie K."}],"issued":{"date-parts":[["2011"]]}}}],"schema":"https://github.com/citation-style-language/schema/raw/master/csl-citation.json"} </w:instrText>
      </w:r>
      <w:r w:rsidRPr="00BC0B96">
        <w:fldChar w:fldCharType="separate"/>
      </w:r>
      <w:r w:rsidR="00563A6D" w:rsidRPr="00BC0B96">
        <w:rPr>
          <w:rFonts w:ascii="Calibri" w:hAnsi="Calibri" w:cs="Calibri"/>
          <w:sz w:val="24"/>
        </w:rPr>
        <w:t>(49)</w:t>
      </w:r>
      <w:r w:rsidRPr="00BC0B96">
        <w:fldChar w:fldCharType="end"/>
      </w:r>
      <w:r w:rsidRPr="00BC0B96">
        <w:t xml:space="preserve">. During each episode of defeat the focal mouse was placed in the home cage of a novel male-female adult resident pair. The opposite sex resident mouse was removed from the cage prior to the start of the defeat session. Each session of defeat lasted for 7 minutes, or until the test mouse received 7 bites. Control mice were placed into a clean, empty cage for 7 minutes across 3 consecutive days. </w:t>
      </w:r>
    </w:p>
    <w:p w14:paraId="23918CF5" w14:textId="090FF91E" w:rsidR="008B112A" w:rsidRPr="00BC0B96" w:rsidRDefault="008B112A" w:rsidP="00723F97">
      <w:pPr>
        <w:spacing w:line="360" w:lineRule="auto"/>
      </w:pPr>
      <w:r w:rsidRPr="00BC0B96">
        <w:t xml:space="preserve">     On PN50 mice underwent a social interaction test. The social interaction test had 3 phases:  open field, acclimation, and interaction. In the open field phase, the mouse was placed into an open area and allowed to explore it for 3 minutes. In the acclimation phase, an empty cage was placed at one end of the arena and the mouse was allowed to explore for 3 minutes. In the interaction phase, a caged, unknown adult conspecific replaced the empty cage at one end of the arena, and the mouse was allowed to explore for 3 minutes. Time in the interaction zone (8 cm from the cage) is defined as “social approach” was scored with </w:t>
      </w:r>
      <w:proofErr w:type="spellStart"/>
      <w:r w:rsidRPr="00BC0B96">
        <w:t>AnyMaze</w:t>
      </w:r>
      <w:proofErr w:type="spellEnd"/>
      <w:r w:rsidRPr="00BC0B96">
        <w:t xml:space="preserve"> software </w:t>
      </w:r>
      <w:r w:rsidRPr="00BC0B96">
        <w:fldChar w:fldCharType="begin"/>
      </w:r>
      <w:r w:rsidR="00C327F5">
        <w:instrText xml:space="preserve"> ADDIN ZOTERO_ITEM CSL_CITATION {"citationID":"3qQkBFyo","properties":{"formattedCitation":"(43)","plainCitation":"(43)","noteIndex":0},"citationItems":[{"id":"dX9booob/6UuRvWMt","uris":["http://zotero.org/users/local/0DUDweI1/items/TUWL3VJ6"],"itemData":{"id":1038,"type":"article-journal","title":"Sex differences in stress-induced social withdrawal: independence from adult gonadal hormones and inhibition of female phenotype by corncob bedding","container-title":"Hormones and Behavior","page":"543-550","volume":"63","issue":"3","source":"PMC","abstract":"There is compelling evidence for important sex differences in behavioral and hormonal responses to psychosocial stress. Here we examined the effects of gonadal hormones on behavioral responses to social defeat stress in monogamous California mice (Peromyscus californicus). Three episodes of social defeat induced social withdrawal in intact females but not males. Gonadectomy blocked corticosterone responses to defeat in females and sensitized male corticosterone responses. However, gonadectomy had no effects on social interaction behavior, suggesting that social withdrawal is not dependent on gonadal hormones in the adult California mouse. In contrast, defeat reduced exploratory behavior in the open field test for intact but not castrated males. We also examined the effects of social defeat on social interaction behavior when California mice were raised on corncob bedding, which has estrogenic properties. In this dataset of over 300 mice, we observed that social defeat did not induce social withdrawal when females were raised on corncob bedding. This finding suggests that the use of corncob in rodent studies could mask important sex differences in the effects of stress on brain and behavior. Although gonadal hormones do not affect social withdrawal behavior in adults, our data suggest that hormones may act earlier in development to induce a more resilient social phenotype.","DOI":"10.1016/j.yhbeh.2013.01.011","ISSN":"0018-506X 1095-6867","author":[{"family":"Trainor","given":"Brian C."},{"family":"Takahashi","given":"Elizabeth Y."},{"family":"Campi","given":"Katharine L."},{"family":"Florez","given":"Stefani A."},{"family":"Greenberg","given":"Gian D."},{"family":"Laman-Maharg","given":"Abigail"},{"family":"Laredo","given":"Sarah A."},{"family":"Orr","given":"Veronica N."},{"family":"Silva","given":"Andrea L."},{"family":"Steinman","given":"Michael Q."}],"issued":{"date-parts":[["2013"]],"season":"04"}}}],"schema":"https://github.com/citation-style-language/schema/raw/master/csl-citation.json"} </w:instrText>
      </w:r>
      <w:r w:rsidRPr="00BC0B96">
        <w:fldChar w:fldCharType="separate"/>
      </w:r>
      <w:r w:rsidR="00563A6D" w:rsidRPr="00BC0B96">
        <w:rPr>
          <w:rFonts w:ascii="Calibri" w:hAnsi="Calibri" w:cs="Calibri"/>
          <w:sz w:val="24"/>
        </w:rPr>
        <w:t>(43)</w:t>
      </w:r>
      <w:r w:rsidRPr="00BC0B96">
        <w:fldChar w:fldCharType="end"/>
      </w:r>
      <w:r w:rsidRPr="00BC0B96">
        <w:t xml:space="preserve">. </w:t>
      </w:r>
      <w:r w:rsidRPr="00BC0B96">
        <w:lastRenderedPageBreak/>
        <w:t xml:space="preserve">Duration of social vigilance behavior was hand scored from a video recording. Social vigilance was defined as any time the test mouse was sitting still, head oriented toward the target mouse, while outside of the interaction zone </w:t>
      </w:r>
      <w:r w:rsidRPr="00BC0B96">
        <w:fldChar w:fldCharType="begin"/>
      </w:r>
      <w:r w:rsidR="00C327F5">
        <w:instrText xml:space="preserve"> ADDIN ZOTERO_ITEM CSL_CITATION {"citationID":"xxykmX3A","properties":{"formattedCitation":"(40)","plainCitation":"(40)","noteIndex":0},"citationItems":[{"id":"dX9booob/pkuI86ee","uris":["http://zotero.org/users/local/0DUDweI1/items/IX6SBVZE"],"itemData":{"id":970,"type":"article-journal","abstract":"Background The neuropeptide oxytocin (OT) is a key regulator of social and emotional behaviors. The effects of OT are context dependent, and it has been proposed that OT increases the salience of both positive and negative social cues. Here we tested whether the bed nucleus of the stria terminalis (BNST) mediates anxiogenic effects of OT. Methods First, we studied the effects of systemic administration of an OT receptor (OTR) antagonist L-368,899 on social behavior in male and female California mice exposed to social defeat. We examined the effect of L-368,899 on G protein activation and used early growth response factor 1 immunohistochemistry to identify potential sites of OTR action. Finally, we examined the effects of L-368,899 infused in the BNST on behavior. Results A single dose of systemic L-368,899 increased social approach in stressed female mice and decreased social approach in male mice naïve to defeat. L-368,899 prevented OT activation of G proteins and did not activate G proteins in the absence of OT. Intranasal OT, which reduces social approach in female mice but not male mice, increased early growth response factor 1 immunoreactivity in the nucleus accumbens core and anteromedial BNST in female mice but not in male mice. Stressed female mice that received an infusion of L-368,899 into the anteromedial BNST but not the nucleus accumbens core increased social approach and decreased social vigilance responses. Conclusions Our results suggest that OTR activation in anteromedial BNST induces a vigilance response in which individuals avoid, yet attend to, unfamiliar social contexts. Our results suggest that OTR antagonists may have unappreciated therapeutic potential for stress-induced psychiatric disorders.","container-title":"Biol Psychiatry","DOI":"https://doi.org/10.1016/j.biopsych.2017.08.024","ISSN":"0006-3223","issue":"3","journalAbbreviation":"Biological psychiatry","page":"203-213","title":"Oxytocin Receptors in the Anteromedial Bed Nucleus of the Stria Terminalis Promote Stress-Induced Social Avoidance in Female California Mice","volume":"83","author":[{"family":"Duque-Wilckens","given":"Natalia"},{"family":"Steinman","given":"Michael Q."},{"family":"Busnelli","given":"Marta"},{"family":"Chini","given":"Bice"},{"family":"Yokoyama","given":"Sae"},{"family":"Pham","given":"Mary"},{"family":"Laredo","given":"Sarah A."},{"family":"Hao","given":"Rebecca"},{"family":"Perkeybile","given":"Allison M."},{"family":"Minie","given":"Vanessa A."},{"family":"Tan","given":"Phillip B."},{"family":"Bales","given":"Karen L."},{"family":"Trainor","given":"Brian C."}],"issued":{"date-parts":[["2018",2,1]]}}}],"schema":"https://github.com/citation-style-language/schema/raw/master/csl-citation.json"} </w:instrText>
      </w:r>
      <w:r w:rsidRPr="00BC0B96">
        <w:fldChar w:fldCharType="separate"/>
      </w:r>
      <w:r w:rsidR="00563A6D" w:rsidRPr="00BC0B96">
        <w:rPr>
          <w:rFonts w:ascii="Calibri" w:hAnsi="Calibri" w:cs="Calibri"/>
          <w:sz w:val="24"/>
        </w:rPr>
        <w:t>(40)</w:t>
      </w:r>
      <w:r w:rsidRPr="00BC0B96">
        <w:fldChar w:fldCharType="end"/>
      </w:r>
      <w:r w:rsidRPr="00BC0B96">
        <w:t>.</w:t>
      </w:r>
    </w:p>
    <w:p w14:paraId="21D95F35" w14:textId="77777777" w:rsidR="008B112A" w:rsidRPr="00BC0B96" w:rsidRDefault="008B112A" w:rsidP="00723F97">
      <w:pPr>
        <w:spacing w:line="360" w:lineRule="auto"/>
        <w:rPr>
          <w:u w:val="single"/>
        </w:rPr>
      </w:pPr>
    </w:p>
    <w:p w14:paraId="2B2643AE" w14:textId="77777777" w:rsidR="008B112A" w:rsidRPr="00BC0B96" w:rsidRDefault="008B112A" w:rsidP="00723F97">
      <w:pPr>
        <w:spacing w:line="360" w:lineRule="auto"/>
        <w:rPr>
          <w:u w:val="single"/>
        </w:rPr>
      </w:pPr>
      <w:r w:rsidRPr="00BC0B96">
        <w:rPr>
          <w:u w:val="single"/>
        </w:rPr>
        <w:t>Prepubertal Castration</w:t>
      </w:r>
    </w:p>
    <w:p w14:paraId="5A3C16EA" w14:textId="1AF03CB8" w:rsidR="008B112A" w:rsidRPr="00BC0B96" w:rsidRDefault="008B112A" w:rsidP="00723F97">
      <w:pPr>
        <w:spacing w:line="360" w:lineRule="auto"/>
      </w:pPr>
      <w:r w:rsidRPr="00BC0B96">
        <w:t xml:space="preserve">     Male juveniles were randomly assigned to be castrated, sham surgery, or no surgery control between PN35 and PN40 </w:t>
      </w:r>
      <w:r w:rsidRPr="00BC0B96">
        <w:fldChar w:fldCharType="begin"/>
      </w:r>
      <w:r w:rsidR="00C327F5">
        <w:instrText xml:space="preserve"> ADDIN ZOTERO_ITEM CSL_CITATION {"citationID":"3CD74EQJ","properties":{"formattedCitation":"(57)","plainCitation":"(57)","noteIndex":0},"citationItems":[{"id":"dX9booob/BktTIOqj","uris":["http://zotero.org/users/local/0DUDweI1/items/MVCVS5GL"],"itemData":{"id":"tZkLygXZ/4Z7pyunO","type":"article-journal","abstract":"Although high testosterone (T) levels inhibit paternal behaviour in birds breeding in temperate zones many paternal mammals have a very different breeding biology, characterized by a post-partum oestrus. In species with post-partum oestrus, males may engage in T-dependent behaviours such as aggression and copulation simultaneously with paternal behaviour. We previously found that T promotes paternal behaviour in the California mouse, Peromyscus californicus. We examine whether this effect is mediated by the conversion of T to oestradiol (E2) by aromatase. In the first experiment, gonadectomized males treated with T or E2 implants showed higher levels of huddling and pup grooming behaviour than gonadectomized males treated with dihydrotestosterone or empty implants. In the second experiment, we used an aromatase inhibitor (fadrozole) (FAD) to confirm these results. Gonadectomized males treated with T + vehicle or E2 + FAD showed higher levels of huddling and pup grooming behaviour than gonadectomized males treated with T + FAD or empty implants. Although E2 is known to promote the onset of maternal behaviour to our knowledge our results are the first to demonstrate that E2 can promote paternal behaviour in a paternal mammal. These results may explain how mammals express paternal behaviour while T levels are elevated.","container-title":"Proceedings of the Royal Society of London. Series B: Biological Sciences","DOI":"10.1098/rspb.2001.1954","issue":"1493","journalAbbreviation":"Proceedings of the Royal Society of London. Series B: Biological Sciences","note":"publisher: Royal Society","page":"823-829","source":"royalsocietypublishing.org (Atypon)","title":"Testosterone promotes paternal behaviour in a monogamous mammal via conversion to oestrogen","volume":"269","author":[{"family":"Trainor","given":"Brian C."},{"family":"Marler","given":"Catherine A."}],"issued":{"date-parts":[["2002",4,22]]}}}],"schema":"https://github.com/citation-style-language/schema/raw/master/csl-citation.json"} </w:instrText>
      </w:r>
      <w:r w:rsidRPr="00BC0B96">
        <w:fldChar w:fldCharType="separate"/>
      </w:r>
      <w:r w:rsidR="00C956A6" w:rsidRPr="00BC0B96">
        <w:rPr>
          <w:rFonts w:ascii="Calibri" w:hAnsi="Calibri" w:cs="Calibri"/>
          <w:sz w:val="24"/>
        </w:rPr>
        <w:t>(57)</w:t>
      </w:r>
      <w:r w:rsidRPr="00BC0B96">
        <w:fldChar w:fldCharType="end"/>
      </w:r>
      <w:r w:rsidRPr="00BC0B96">
        <w:t xml:space="preserve">. During castration mice were anesthetized with isoflurane and treated with 0.1mg/kg buprenorphine and 5mg/kg of carprofen. Non-surgery controls were included to control for possible effects of early life exposure to the anesthesia isoflurane </w:t>
      </w:r>
      <w:r w:rsidRPr="00BC0B96">
        <w:fldChar w:fldCharType="begin"/>
      </w:r>
      <w:r w:rsidR="00191B76">
        <w:instrText xml:space="preserve"> ADDIN ZOTERO_ITEM CSL_CITATION {"citationID":"Xea1gDva","properties":{"formattedCitation":"(101)","plainCitation":"(101)","noteIndex":0},"citationItems":[{"id":"dX9booob/KBbfn1bC","uris":["http://zotero.org/users/local/0DUDweI1/items/R2BUNWVF"],"itemData":{"id":1839,"type":"article-journal","abstract":"General anesthetics are neurotoxic to neonatal rodents and nonhuman primates. Neonatal exposure to general anesthetics has been associated with long-term cognitive deficits in animal models. Some data from humans are consistent with long-term deleterious effects of anesthetic exposure early in life on cognitive development, with multiple exposures to general anesthetics being particularly damaging. We sought to determine whether repeated exposure of neonatal rats to anesthesia was associated with long-term cognitive impairments and whether the magnitude of impairments was greater than that resulting from a single exposure. Male or female Long-Evans rat pups were exposed to 1.8% isoflurane for 2 hours on postnatal day (P) 7, or for 2 hours each on P7, P10, and P13. Testing in a spatial working memory task began on P91. Rats that were repeatedly exposed to isoflurane were impaired relative to controls in the spatial working memory task. Male rats that received a single exposure to isoflurane showed an unexpected facilitation in spatial memory performance. These results support the hypothesis that multiple neonatal exposures to general anesthesia are associated with greater long-term cognitive impairment than a single exposure. The findings are congruent with human epidemiological studies reporting long-term cognitive impairments following multiple but not single general anesthetics early in life.","container-title":"Frontiers in Neurology","DOI":"10.3389/fneur.2013.00087","ISSN":"1664-2295","journalAbbreviation":"Front. Neurol.","language":"English","note":"publisher: Frontiers","source":"Frontiers","title":"Long-Term Effects of Neonatal Single or Multiple Isoflurane Exposures on Spatial Memory in Rats","URL":"https://www.frontiersin.org/articles/10.3389/fneur.2013.00087/full","volume":"4","author":[{"family":"Murphy","given":"Kathy L."},{"family":"Baxter","given":"Mark G."}],"accessed":{"date-parts":[["2020",10,30]]},"issued":{"date-parts":[["2013"]]}}}],"schema":"https://github.com/citation-style-language/schema/raw/master/csl-citation.json"} </w:instrText>
      </w:r>
      <w:r w:rsidRPr="00BC0B96">
        <w:fldChar w:fldCharType="separate"/>
      </w:r>
      <w:r w:rsidR="00191B76" w:rsidRPr="00191B76">
        <w:rPr>
          <w:rFonts w:ascii="Calibri" w:hAnsi="Calibri" w:cs="Calibri"/>
          <w:sz w:val="24"/>
        </w:rPr>
        <w:t>(101)</w:t>
      </w:r>
      <w:r w:rsidRPr="00BC0B96">
        <w:fldChar w:fldCharType="end"/>
      </w:r>
      <w:r w:rsidRPr="00BC0B96">
        <w:t>. These mice received no manipulations until the start of social defeat stress/control handling. At PN90-92 all mice underwent 3 days of either social defeat or control handling. At PN106 mice were tested in a social interaction test.</w:t>
      </w:r>
    </w:p>
    <w:p w14:paraId="4E47F609" w14:textId="77777777" w:rsidR="008B112A" w:rsidRPr="00BC0B96" w:rsidRDefault="008B112A" w:rsidP="00723F97">
      <w:pPr>
        <w:spacing w:line="360" w:lineRule="auto"/>
      </w:pPr>
    </w:p>
    <w:p w14:paraId="39B687BE" w14:textId="7ACF6CDF" w:rsidR="008B112A" w:rsidRPr="00BC0B96" w:rsidRDefault="008B112A" w:rsidP="00723F97">
      <w:pPr>
        <w:spacing w:line="360" w:lineRule="auto"/>
      </w:pPr>
      <w:r w:rsidRPr="00BC0B96">
        <w:rPr>
          <w:rFonts w:cstheme="minorHAnsi"/>
          <w:u w:val="single"/>
        </w:rPr>
        <w:t xml:space="preserve">Calcium imaging of the BNST </w:t>
      </w:r>
      <w:r w:rsidRPr="00BC0B96">
        <w:t xml:space="preserve"> </w:t>
      </w:r>
    </w:p>
    <w:p w14:paraId="66D07386" w14:textId="28A7576D" w:rsidR="008B112A" w:rsidRPr="00BC0B96" w:rsidRDefault="008B112A" w:rsidP="00723F97">
      <w:pPr>
        <w:spacing w:line="360" w:lineRule="auto"/>
      </w:pPr>
      <w:r w:rsidRPr="00BC0B96">
        <w:t xml:space="preserve">     </w:t>
      </w:r>
      <w:r w:rsidR="00183D4B" w:rsidRPr="00BC0B96">
        <w:t>In the first study, m</w:t>
      </w:r>
      <w:r w:rsidRPr="00BC0B96">
        <w:t xml:space="preserve">ale juveniles were randomly assigned to castration or sham surgery after weaning. As adults, all mice received an injection of </w:t>
      </w:r>
      <w:proofErr w:type="gramStart"/>
      <w:r w:rsidRPr="00BC0B96">
        <w:rPr>
          <w:rFonts w:eastAsia="Times New Roman"/>
        </w:rPr>
        <w:t>AAV9.Syn.GCaMP</w:t>
      </w:r>
      <w:proofErr w:type="gramEnd"/>
      <w:r w:rsidRPr="00BC0B96">
        <w:rPr>
          <w:rFonts w:eastAsia="Times New Roman"/>
        </w:rPr>
        <w:t xml:space="preserve">6s </w:t>
      </w:r>
      <w:r w:rsidRPr="00BC0B96">
        <w:t xml:space="preserve">at a rate of 100nL/min for a total volume of 500nL in the ventral BNST (AP +0.45mm, ML +/-1.0mm, DV -5.6mm). The virus was allowed to diffuse for 10 minutes before the needle was withdrawn. An optical fiber (Doric) with 2.5 mm core and 0.66 NA threaded through a ceramic ferrule was implanted at the injection site and the ferrule was secured to the skull with a layer of C&amp;B </w:t>
      </w:r>
      <w:proofErr w:type="spellStart"/>
      <w:r w:rsidRPr="00BC0B96">
        <w:t>Metabond</w:t>
      </w:r>
      <w:proofErr w:type="spellEnd"/>
      <w:r w:rsidRPr="00BC0B96">
        <w:t xml:space="preserve"> (Parkell), followed by a layer of dental cement to form a thick headcap. Mice were housed two per cage with a clear, perforated acrylic divider that allowed auditory, </w:t>
      </w:r>
      <w:proofErr w:type="gramStart"/>
      <w:r w:rsidRPr="00BC0B96">
        <w:t>tactile</w:t>
      </w:r>
      <w:proofErr w:type="gramEnd"/>
      <w:r w:rsidRPr="00BC0B96">
        <w:t xml:space="preserve"> and olfactory contact. </w:t>
      </w:r>
    </w:p>
    <w:p w14:paraId="65ECC7CD" w14:textId="7E3364B0" w:rsidR="008B112A" w:rsidRPr="00BC0B96" w:rsidRDefault="008B112A" w:rsidP="00723F97">
      <w:pPr>
        <w:spacing w:line="360" w:lineRule="auto"/>
        <w:rPr>
          <w:rFonts w:eastAsia="Times New Roman"/>
        </w:rPr>
      </w:pPr>
      <w:r w:rsidRPr="00BC0B96">
        <w:t xml:space="preserve">     Mice recovered for 1 week before undergoing 3 consecutive days of social defeat stress. Ten days later mice began 3 consecutive days of patch cord habituation in which the patch cord was gently coupled to their optical fiber implant. The mouse then explored a novel cage for 10 min. The next day mice were tested in a social interaction test with freely moving target mice. The focal mouse was placed into an empty area (51x25.4x76 cm) attached to a small box (13x10x18 </w:t>
      </w:r>
      <w:r w:rsidRPr="00BC0B96">
        <w:lastRenderedPageBreak/>
        <w:t xml:space="preserve">cm) with a sliding door for 6 min. Photometry recording was performed with an isosbestic channel of 405nm </w:t>
      </w:r>
      <w:r w:rsidRPr="00BC0B96">
        <w:rPr>
          <w:rFonts w:eastAsia="Times New Roman"/>
        </w:rPr>
        <w:t>and an excitatory channel of 470nm, both set to 50μW output. Photometry data from the acclimation period were excluded from analysis due to initial bleaching. Next, an unfamiliar, nonaggressive adult male target mouse was introduced into the arena through the sliding door. Mice were allowed to freely interact for 3 min. The target mouse was removed and then a sexually experienced, aggressive male (from a previous social defeat episode) was introduced into the arena for 3 min. After testing brains were collected to confirm viral expression and placement of the fiber.</w:t>
      </w:r>
      <w:r w:rsidR="00183D4B" w:rsidRPr="00BC0B96">
        <w:rPr>
          <w:rFonts w:eastAsia="Times New Roman"/>
        </w:rPr>
        <w:t xml:space="preserve"> In a second study, we examined </w:t>
      </w:r>
      <w:r w:rsidR="00F15DD7" w:rsidRPr="00BC0B96">
        <w:rPr>
          <w:rFonts w:eastAsia="Times New Roman"/>
        </w:rPr>
        <w:t>calcium transients in intact adult males before and after stress</w:t>
      </w:r>
      <w:r w:rsidR="00E5790F" w:rsidRPr="00BC0B96">
        <w:rPr>
          <w:rFonts w:eastAsia="Times New Roman"/>
        </w:rPr>
        <w:t xml:space="preserve">. Surgery for </w:t>
      </w:r>
      <w:r w:rsidR="008D7EAC" w:rsidRPr="00BC0B96">
        <w:rPr>
          <w:rFonts w:eastAsia="Times New Roman"/>
        </w:rPr>
        <w:t>GCaMP express</w:t>
      </w:r>
      <w:r w:rsidR="4147D6DD" w:rsidRPr="00BC0B96">
        <w:rPr>
          <w:rFonts w:eastAsia="Times New Roman"/>
        </w:rPr>
        <w:t>ion</w:t>
      </w:r>
      <w:r w:rsidR="008D7EAC" w:rsidRPr="00BC0B96">
        <w:rPr>
          <w:rFonts w:eastAsia="Times New Roman"/>
        </w:rPr>
        <w:t xml:space="preserve"> and fiber implantation </w:t>
      </w:r>
      <w:r w:rsidR="00DC5101" w:rsidRPr="00BC0B96">
        <w:rPr>
          <w:rFonts w:eastAsia="Times New Roman"/>
        </w:rPr>
        <w:t xml:space="preserve">were performed </w:t>
      </w:r>
      <w:r w:rsidR="008D7EAC" w:rsidRPr="00BC0B96">
        <w:rPr>
          <w:rFonts w:eastAsia="Times New Roman"/>
        </w:rPr>
        <w:t>as described above</w:t>
      </w:r>
      <w:r w:rsidR="00F15DD7" w:rsidRPr="00BC0B96">
        <w:rPr>
          <w:rFonts w:eastAsia="Times New Roman"/>
        </w:rPr>
        <w:t>.</w:t>
      </w:r>
      <w:r w:rsidR="008D7EAC" w:rsidRPr="00BC0B96">
        <w:rPr>
          <w:rFonts w:eastAsia="Times New Roman"/>
        </w:rPr>
        <w:t xml:space="preserve"> After </w:t>
      </w:r>
      <w:r w:rsidR="00C06492" w:rsidRPr="00BC0B96">
        <w:rPr>
          <w:rFonts w:eastAsia="Times New Roman"/>
        </w:rPr>
        <w:t>4</w:t>
      </w:r>
      <w:r w:rsidR="00AC537B" w:rsidRPr="00BC0B96">
        <w:rPr>
          <w:rFonts w:eastAsia="Times New Roman"/>
        </w:rPr>
        <w:t xml:space="preserve"> weeks of recovery all mice were habituated and tested with freely moving target mice (</w:t>
      </w:r>
      <w:r w:rsidR="003928DA" w:rsidRPr="00BC0B96">
        <w:rPr>
          <w:rFonts w:eastAsia="Times New Roman"/>
        </w:rPr>
        <w:t>naive</w:t>
      </w:r>
      <w:r w:rsidR="00AC537B" w:rsidRPr="00BC0B96">
        <w:rPr>
          <w:rFonts w:eastAsia="Times New Roman"/>
        </w:rPr>
        <w:t xml:space="preserve"> and aggressive) as in the first study. </w:t>
      </w:r>
      <w:r w:rsidR="00DB608D" w:rsidRPr="00BC0B96">
        <w:rPr>
          <w:rFonts w:eastAsia="Times New Roman"/>
        </w:rPr>
        <w:t>Five</w:t>
      </w:r>
      <w:r w:rsidR="00580AE4" w:rsidRPr="00BC0B96">
        <w:rPr>
          <w:rFonts w:eastAsia="Times New Roman"/>
        </w:rPr>
        <w:t xml:space="preserve"> days later mice were exposed to three episodes of social defeat and then tested again in a social interaction test</w:t>
      </w:r>
      <w:r w:rsidR="00DB608D" w:rsidRPr="00BC0B96">
        <w:rPr>
          <w:rFonts w:eastAsia="Times New Roman"/>
        </w:rPr>
        <w:t xml:space="preserve"> one week </w:t>
      </w:r>
      <w:r w:rsidR="497E400B" w:rsidRPr="00BC0B96">
        <w:rPr>
          <w:rFonts w:eastAsia="Times New Roman"/>
        </w:rPr>
        <w:t xml:space="preserve">after the last episode of </w:t>
      </w:r>
      <w:proofErr w:type="gramStart"/>
      <w:r w:rsidR="497E400B" w:rsidRPr="00BC0B96">
        <w:rPr>
          <w:rFonts w:eastAsia="Times New Roman"/>
        </w:rPr>
        <w:t>defeat</w:t>
      </w:r>
      <w:proofErr w:type="gramEnd"/>
      <w:r w:rsidR="497E400B" w:rsidRPr="00BC0B96">
        <w:rPr>
          <w:rFonts w:eastAsia="Times New Roman"/>
        </w:rPr>
        <w:t xml:space="preserve"> </w:t>
      </w:r>
    </w:p>
    <w:p w14:paraId="47B9E16F" w14:textId="0BF0C895" w:rsidR="008B112A" w:rsidRPr="00BC0B96" w:rsidRDefault="008B112A" w:rsidP="00723F97">
      <w:pPr>
        <w:spacing w:line="360" w:lineRule="auto"/>
        <w:rPr>
          <w:rFonts w:eastAsia="Times New Roman"/>
        </w:rPr>
      </w:pPr>
      <w:r w:rsidRPr="00BC0B96">
        <w:rPr>
          <w:rFonts w:eastAsia="Times New Roman"/>
        </w:rPr>
        <w:t xml:space="preserve">     We used </w:t>
      </w:r>
      <w:proofErr w:type="spellStart"/>
      <w:r w:rsidRPr="00BC0B96">
        <w:rPr>
          <w:rFonts w:eastAsia="Times New Roman"/>
        </w:rPr>
        <w:t>Deeplabcut</w:t>
      </w:r>
      <w:proofErr w:type="spellEnd"/>
      <w:r w:rsidRPr="00BC0B96">
        <w:rPr>
          <w:rFonts w:eastAsia="Times New Roman"/>
        </w:rPr>
        <w:t xml:space="preserve"> to quantify distance and orientation of the focal mouse in relation to target mice with precision that matched the high temporal resolution of photometry data </w:t>
      </w:r>
      <w:r w:rsidRPr="00BC0B96">
        <w:rPr>
          <w:rFonts w:eastAsia="Times New Roman"/>
        </w:rPr>
        <w:fldChar w:fldCharType="begin"/>
      </w:r>
      <w:r w:rsidR="00191B76">
        <w:rPr>
          <w:rFonts w:eastAsia="Times New Roman"/>
        </w:rPr>
        <w:instrText xml:space="preserve"> ADDIN ZOTERO_ITEM CSL_CITATION {"citationID":"8HdSKWWu","properties":{"formattedCitation":"(102\\uc0\\u8211{}104)","plainCitation":"(102–104)","noteIndex":0},"citationItems":[{"id":9608,"uris":["http://zotero.org/users/5661202/items/4ZVMC5GS"],"itemData":{"id":9608,"type":"report","abstract":"Estimating the pose of multiple animals is a challenging computer vision problem: frequent interactions cause occlusions and complicate the association of detected keypoints to the correct individuals, as well as having extremely similar looking animals that interact more closely than in typical multi-human scenarios. To take up this challenge, we build on DeepLabCut, a popular open source pose estimation toolbox, and provide high-performance animal assembly and tracking—features required for robust multi-animal scenarios. Furthermore, we integrate the ability to predict an animal’s identity directly to assist tracking (in case of occlusions). We illustrate the power of this framework with four datasets varying in complexity, which we release to serve as a benchmark for future algorithm development.","genre":"preprint","language":"en","note":"DOI: 10.1101/2021.04.30.442096","publisher":"Animal Behavior and Cognition","source":"DOI.org (Crossref)","title":"Multi-animal pose estimation and tracking with DeepLabCut","URL":"http://biorxiv.org/lookup/doi/10.1101/2021.04.30.442096","author":[{"family":"Lauer","given":"Jessy"},{"family":"Zhou","given":"Mu"},{"family":"Ye","given":"Shaokai"},{"family":"Menegas","given":"William"},{"family":"Nath","given":"Tanmay"},{"family":"Rahman","given":"Mohammed Mostafizur"},{"family":"Di Santo","given":"Valentina"},{"family":"Soberanes","given":"Daniel"},{"family":"Feng","given":"Guoping"},{"family":"Murthy","given":"Venkatesh N."},{"family":"Lauder","given":"George"},{"family":"Dulac","given":"Catherine"},{"family":"Mathis","given":"Mackenzie W."},{"family":"Mathis","given":"Alexander"}],"accessed":{"date-parts":[["2023",3,9]]},"issued":{"date-parts":[["2021",4,30]]}}},{"id":9606,"uris":["http://zotero.org/users/5661202/items/DYT7D2ZW"],"itemData":{"id":9606,"type":"article-journal","container-title":"Nature Protocols","DOI":"10.1038/s41596-019-0176-0","ISSN":"1754-2189, 1750-2799","issue":"7","journalAbbreviation":"Nat Protoc","language":"en","page":"2152-2176","source":"DOI.org (Crossref)","title":"Using DeepLabCut for 3D markerless pose estimation across species and behaviors","volume":"14","author":[{"family":"Nath","given":"Tanmay"},{"family":"Mathis","given":"Alexander"},{"family":"Chen","given":"An Chi"},{"family":"Patel","given":"Amir"},{"family":"Bethge","given":"Matthias"},{"family":"Mathis","given":"Mackenzie Weygandt"}],"issued":{"date-parts":[["2019",7]]}}},{"id":9605,"uris":["http://zotero.org/users/5661202/items/BNN4DXVS"],"itemData":{"id":9605,"type":"article-journal","container-title":"Nature Neuroscience","DOI":"10.1038/s41593-018-0209-y","ISSN":"1097-6256, 1546-1726","issue":"9","journalAbbreviation":"Nat Neurosci","language":"en","page":"1281-1289","source":"DOI.org (Crossref)","title":"DeepLabCut: markerless pose estimation of user-defined body parts with deep learning","title-short":"DeepLabCut","volume":"21","author":[{"family":"Mathis","given":"Alexander"},{"family":"Mamidanna","given":"Pranav"},{"family":"Cury","given":"Kevin M."},{"family":"Abe","given":"Taiga"},{"family":"Murthy","given":"Venkatesh N."},{"family":"Mathis","given":"Mackenzie Weygandt"},{"family":"Bethge","given":"Matthias"}],"issued":{"date-parts":[["2018",9]]}}}],"schema":"https://github.com/citation-style-language/schema/raw/master/csl-citation.json"} </w:instrText>
      </w:r>
      <w:r w:rsidRPr="00BC0B96">
        <w:rPr>
          <w:rFonts w:eastAsia="Times New Roman"/>
        </w:rPr>
        <w:fldChar w:fldCharType="separate"/>
      </w:r>
      <w:r w:rsidR="00191B76" w:rsidRPr="00191B76">
        <w:rPr>
          <w:rFonts w:ascii="Calibri" w:hAnsi="Calibri" w:cs="Calibri"/>
          <w:sz w:val="24"/>
          <w:szCs w:val="24"/>
        </w:rPr>
        <w:t>(102–104)</w:t>
      </w:r>
      <w:r w:rsidRPr="00BC0B96">
        <w:rPr>
          <w:rFonts w:eastAsia="Times New Roman"/>
        </w:rPr>
        <w:fldChar w:fldCharType="end"/>
      </w:r>
      <w:r w:rsidRPr="00BC0B96">
        <w:rPr>
          <w:rFonts w:eastAsia="Times New Roman"/>
        </w:rPr>
        <w:t xml:space="preserve">. Video was taken from the side view at a rate of 30fps. And training was performed to track the nose, right ear, left ear, body midpoint, front leg, back leg, tail base, and tail tip for both the test mouse and stimulus mouse. The tracking for the nose and body midpoint were used </w:t>
      </w:r>
      <w:proofErr w:type="gramStart"/>
      <w:r w:rsidRPr="00BC0B96">
        <w:rPr>
          <w:rFonts w:eastAsia="Times New Roman"/>
        </w:rPr>
        <w:t>in order to</w:t>
      </w:r>
      <w:proofErr w:type="gramEnd"/>
      <w:r w:rsidRPr="00BC0B96">
        <w:rPr>
          <w:rFonts w:eastAsia="Times New Roman"/>
        </w:rPr>
        <w:t xml:space="preserve"> determine proximity, defined as times when the body midpoint of the two mice were within 8 cm (the approximate length of a California mouse) of each other. </w:t>
      </w:r>
      <w:r w:rsidRPr="00BC0B96">
        <w:t xml:space="preserve">We determined the direction the test mouse was facing in relation to the stimulus mouse using their coordinate points obtained from the </w:t>
      </w:r>
      <w:proofErr w:type="spellStart"/>
      <w:r w:rsidRPr="00BC0B96">
        <w:t>deeplabcut</w:t>
      </w:r>
      <w:proofErr w:type="spellEnd"/>
      <w:r w:rsidRPr="00BC0B96">
        <w:t xml:space="preserve"> tracking (test mouse nose, body midpoint, and target mouse nose). We binned angles as within the test mouse’s central vision (</w:t>
      </w:r>
      <w:r w:rsidRPr="00BC0B96">
        <w:rPr>
          <w:rFonts w:eastAsia="Times New Roman"/>
        </w:rPr>
        <w:t>0°</w:t>
      </w:r>
      <w:r w:rsidRPr="00BC0B96">
        <w:rPr>
          <w:rFonts w:ascii="Calibri" w:eastAsia="Calibri" w:hAnsi="Calibri" w:cs="Calibri"/>
        </w:rPr>
        <w:t>≥</w:t>
      </w:r>
      <w:r w:rsidRPr="00BC0B96">
        <w:rPr>
          <w:rFonts w:eastAsia="Times New Roman"/>
        </w:rPr>
        <w:t>40°)</w:t>
      </w:r>
      <w:r w:rsidRPr="00BC0B96">
        <w:t>, peripheral vision (</w:t>
      </w:r>
      <w:r w:rsidRPr="00BC0B96">
        <w:rPr>
          <w:rFonts w:eastAsia="Times New Roman"/>
        </w:rPr>
        <w:t>40°</w:t>
      </w:r>
      <w:r w:rsidRPr="00BC0B96">
        <w:rPr>
          <w:rFonts w:ascii="Calibri" w:eastAsia="Calibri" w:hAnsi="Calibri" w:cs="Calibri"/>
        </w:rPr>
        <w:t>≥10</w:t>
      </w:r>
      <w:r w:rsidRPr="00BC0B96">
        <w:rPr>
          <w:rFonts w:eastAsia="Times New Roman"/>
        </w:rPr>
        <w:t>0°)</w:t>
      </w:r>
      <w:r w:rsidRPr="00BC0B96">
        <w:t>, or facing away from the stimulus mouse (</w:t>
      </w:r>
      <w:r w:rsidRPr="00BC0B96">
        <w:rPr>
          <w:rFonts w:eastAsia="Times New Roman"/>
        </w:rPr>
        <w:t>100°</w:t>
      </w:r>
      <w:r w:rsidRPr="00BC0B96">
        <w:rPr>
          <w:rFonts w:ascii="Calibri" w:eastAsia="Calibri" w:hAnsi="Calibri" w:cs="Calibri"/>
        </w:rPr>
        <w:t>≥18</w:t>
      </w:r>
      <w:r w:rsidRPr="00BC0B96">
        <w:rPr>
          <w:rFonts w:eastAsia="Times New Roman"/>
        </w:rPr>
        <w:t>0°)</w:t>
      </w:r>
      <w:r w:rsidRPr="00BC0B96">
        <w:t xml:space="preserve"> </w:t>
      </w:r>
      <w:r w:rsidRPr="00BC0B96">
        <w:rPr>
          <w:rFonts w:eastAsia="Times New Roman"/>
        </w:rPr>
        <w:fldChar w:fldCharType="begin"/>
      </w:r>
      <w:r w:rsidR="00563A6D" w:rsidRPr="00BC0B96">
        <w:rPr>
          <w:rFonts w:eastAsia="Times New Roman"/>
        </w:rPr>
        <w:instrText xml:space="preserve"> ADDIN ZOTERO_ITEM CSL_CITATION {"citationID":"5uqmMHB5","properties":{"formattedCitation":"(54)","plainCitation":"(54)","noteIndex":0},"citationItems":[{"id":9612,"uris":["http://zotero.org/users/5661202/items/QI8F4SB4"],"itemData":{"id":9612,"type":"article-journal","abstract":"Stereopsis is a ubiquitous feature of primate mammalian vision, but little is known about if and how rodents such as mice use stereoscopic vision. We used random dot stereograms to test for stereopsis in male and female mice, and they were able to discriminate near from far surfaces over a range of disparities, with diminishing performance for small and large binocular disparities. Based on two-photon measurements of disparity tuning, the range of disparities represented in the visual cortex aligns with the behavior and covers a broad range of disparities. When we examined their binocular eye movements, we found that, unlike primates, mice did not systematically vary relative eye positions or use vergence eye movements when presented with different disparities. Nonetheless, the representation of disparity tuning was wide enough to capture stereoscopic information over a range of potential vergence angles. Although mice share fundamental characteristics of stereoscopic vision with primates and carnivores, their lack of disparity-dependent vergence eye movements and wide neuronal representation suggests that they may use a distinct strategy for stereopsis.\nSIGNIFICANCE STATEMENT Binocular vision allows us to derive depth information by comparing right and left eye information. We characterized binocular integration in mice because tools exist in these animals to dissect the underlying neural circuitry for binocular vision. Using random dot stereograms, we find that behavior and disparity tuning in the visual cortex share fundamental characteristics with primates, but we did not observe any evidence of disparity-dependent changes in vergence angle. We propose that mice use a distinct strategy of stereopsis compared with primates by using a broad range of disparities to encode depth over a large field of view and to compensate for nonstereoscopic changes in vergence angle that arise during natural behavior.","container-title":"Journal of Neuroscience","DOI":"10.1523/JNEUROSCI.0895-19.2019","ISSN":"0270-6474, 1529-2401","issue":"41","journalAbbreviation":"J. Neurosci.","language":"en","license":"Copyright © 2019 the authors","note":"publisher: Society for Neuroscience\nsection: Research Articles\nPMID: 31462533","page":"8024-8037","source":"www.jneurosci.org","title":"Mice Discriminate Stereoscopic Surfaces Without Fixating in Depth","volume":"39","author":[{"family":"Samonds","given":"Jason M."},{"family":"Choi","given":"Veronica"},{"family":"Priebe","given":"Nicholas J."}],"issued":{"date-parts":[["2019",10,9]]}}}],"schema":"https://github.com/citation-style-language/schema/raw/master/csl-citation.json"} </w:instrText>
      </w:r>
      <w:r w:rsidRPr="00BC0B96">
        <w:rPr>
          <w:rFonts w:eastAsia="Times New Roman"/>
        </w:rPr>
        <w:fldChar w:fldCharType="separate"/>
      </w:r>
      <w:r w:rsidR="00563A6D" w:rsidRPr="00BC0B96">
        <w:rPr>
          <w:rFonts w:ascii="Calibri" w:hAnsi="Calibri" w:cs="Calibri"/>
          <w:sz w:val="24"/>
        </w:rPr>
        <w:t>(54)</w:t>
      </w:r>
      <w:r w:rsidRPr="00BC0B96">
        <w:rPr>
          <w:rFonts w:eastAsia="Times New Roman"/>
        </w:rPr>
        <w:fldChar w:fldCharType="end"/>
      </w:r>
      <w:r w:rsidRPr="00BC0B96">
        <w:rPr>
          <w:rFonts w:eastAsia="Times New Roman"/>
        </w:rPr>
        <w:t xml:space="preserve">. All scripts are deposited at </w:t>
      </w:r>
      <w:hyperlink r:id="rId9" w:history="1">
        <w:r w:rsidRPr="00BC0B96">
          <w:rPr>
            <w:rStyle w:val="Hyperlink"/>
            <w:rFonts w:eastAsia="Times New Roman"/>
            <w:color w:val="auto"/>
          </w:rPr>
          <w:t>https://github.com/bctrainorlab/behavioral_quantification</w:t>
        </w:r>
      </w:hyperlink>
      <w:r w:rsidRPr="00BC0B96">
        <w:rPr>
          <w:rFonts w:eastAsia="Times New Roman"/>
        </w:rPr>
        <w:t>. Nose to nose sniffing, anogenital sniffing, freezing</w:t>
      </w:r>
      <w:r w:rsidR="00554F92" w:rsidRPr="00BC0B96">
        <w:rPr>
          <w:rFonts w:eastAsia="Times New Roman"/>
        </w:rPr>
        <w:t>,</w:t>
      </w:r>
      <w:r w:rsidRPr="00BC0B96">
        <w:rPr>
          <w:rFonts w:eastAsia="Times New Roman"/>
        </w:rPr>
        <w:t xml:space="preserve"> aggressive behavior directed towards focal mice</w:t>
      </w:r>
      <w:r w:rsidR="00554F92" w:rsidRPr="00BC0B96">
        <w:rPr>
          <w:rFonts w:eastAsia="Times New Roman"/>
        </w:rPr>
        <w:t>, and aggressive behavior directed towards target mice</w:t>
      </w:r>
      <w:r w:rsidRPr="00BC0B96">
        <w:rPr>
          <w:rFonts w:eastAsia="Times New Roman"/>
        </w:rPr>
        <w:t xml:space="preserve"> were scored by an observer without knowledge of the treatment group using BORIS.</w:t>
      </w:r>
    </w:p>
    <w:p w14:paraId="410A309F" w14:textId="77777777" w:rsidR="008B112A" w:rsidRPr="00BC0B96" w:rsidRDefault="008B112A" w:rsidP="00723F97">
      <w:pPr>
        <w:spacing w:line="360" w:lineRule="auto"/>
        <w:rPr>
          <w:rFonts w:eastAsia="Times New Roman"/>
        </w:rPr>
      </w:pPr>
    </w:p>
    <w:p w14:paraId="3EF820AC" w14:textId="77777777" w:rsidR="008B112A" w:rsidRPr="00BC0B96" w:rsidRDefault="008B112A" w:rsidP="00723F97">
      <w:pPr>
        <w:spacing w:line="360" w:lineRule="auto"/>
        <w:rPr>
          <w:u w:val="single"/>
        </w:rPr>
      </w:pPr>
      <w:r w:rsidRPr="00BC0B96">
        <w:rPr>
          <w:u w:val="single"/>
        </w:rPr>
        <w:lastRenderedPageBreak/>
        <w:t>Pubertal hormone manipulation studies</w:t>
      </w:r>
    </w:p>
    <w:p w14:paraId="500A4950" w14:textId="36468DE4" w:rsidR="008B112A" w:rsidRPr="00BC0B96" w:rsidRDefault="008B112A" w:rsidP="00723F97">
      <w:pPr>
        <w:spacing w:line="360" w:lineRule="auto"/>
      </w:pPr>
      <w:r w:rsidRPr="00BC0B96">
        <w:t xml:space="preserve">     Male juveniles were castrated and received a subcutaneous silastic implant (</w:t>
      </w:r>
      <w:proofErr w:type="spellStart"/>
      <w:r w:rsidRPr="00BC0B96">
        <w:t>i.d.</w:t>
      </w:r>
      <w:proofErr w:type="spellEnd"/>
      <w:r w:rsidRPr="00BC0B96">
        <w:t xml:space="preserve"> 0.04 in, o.d. 0.085 in) containing 1mm crystalline testosterone, dihydrotestosterone, or </w:t>
      </w:r>
      <w:proofErr w:type="spellStart"/>
      <w:r w:rsidRPr="00BC0B96">
        <w:t>Dowsil</w:t>
      </w:r>
      <w:proofErr w:type="spellEnd"/>
      <w:r w:rsidRPr="00BC0B96">
        <w:t xml:space="preserve"> Sealant (3145 RTV MIL-A-46146).  These implants yield hormone levels that are within the physiological range of intact male California mice </w:t>
      </w:r>
      <w:r w:rsidRPr="00BC0B96">
        <w:fldChar w:fldCharType="begin"/>
      </w:r>
      <w:r w:rsidR="00191B76">
        <w:instrText xml:space="preserve"> ADDIN ZOTERO_ITEM CSL_CITATION {"citationID":"zfS8ZLuX","properties":{"formattedCitation":"(105)","plainCitation":"(105)","noteIndex":0},"citationItems":[{"id":"dX9booob/k67gB0kZ","uris":["http://zotero.org/users/local/0DUDweI1/items/SWLQDL8K"],"itemData":{"id":1753,"type":"article-journal","abstract":"The effects of aromatase within the brain on sexual behavior have been studied in a wide variety of species. Relatively few non-mating behaviors have been considered, despite evidence that estrogen affects many social behaviors. Testosterone promotes paternal behavior in California mouse &lt;i&gt;(Peromyscus californicus)&lt;/i&gt; fathers, acting primarily via aromatization to estradiol. Virgin male California mice rarely exhibit paternal behavior, so we investigated whether aromatase in the brain changed with the onset of paternal behavior in California mouse fathers. In the medial preoptic area (MPOA), a brain area known to regulate parental behavior in rodents, we found that fathers had significantly more aromatase activity than mated males without pups, suggesting that an increase in estrogen production in this brain area contributes to the onset of paternal behavior. We also found that progesterone (P&lt;sub&gt;4&lt;/sub&gt;) levels were lower in fathers compared to sexually inexperienced males and that P&lt;sub&gt;4&lt;/sub&gt; was negatively correlated with aromatase activity in the MPOA. These P&lt;sub&gt;4&lt;/sub&gt; findings agree with a recent study that found an inhibitory effect of P&lt;sub&gt;4&lt;/sub&gt; on paternal behavior. Overall, we found that aromatase activity and P&lt;sub&gt;4&lt;/sub&gt; levels change in association with an important life history transition, and may provide a mechanistic basis for plasticity in paternal behavior.","container-title":"Neuroendocrinology","DOI":"10.1159/000071704","ISSN":"0028-3835, 1423-0194","issue":"1","journalAbbreviation":"NEN","language":"english","note":"publisher: Karger Publishers\nPMID: 12869798","page":"36-44","source":"www.karger.com","title":"Variation in Aromatase Activity in the Medial Preoptic Area and Plasma Progesterone Is Associated with the Onset of Paternal Behavior","volume":"78","author":[{"family":"Trainor","given":"Brian C."},{"family":"Bird","given":"Ian M."},{"family":"Alday","given":"Noel A."},{"family":"Schlinger","given":"Barney A."},{"family":"Marler","given":"Catherine A."}],"issued":{"date-parts":[["2003"]]}}}],"schema":"https://github.com/citation-style-language/schema/raw/master/csl-citation.json"} </w:instrText>
      </w:r>
      <w:r w:rsidRPr="00BC0B96">
        <w:fldChar w:fldCharType="separate"/>
      </w:r>
      <w:r w:rsidR="00191B76" w:rsidRPr="00191B76">
        <w:rPr>
          <w:rFonts w:ascii="Calibri" w:hAnsi="Calibri" w:cs="Calibri"/>
          <w:sz w:val="24"/>
        </w:rPr>
        <w:t>(105)</w:t>
      </w:r>
      <w:r w:rsidRPr="00BC0B96">
        <w:fldChar w:fldCharType="end"/>
      </w:r>
      <w:r w:rsidR="00501F3A">
        <w:t xml:space="preserve">, and </w:t>
      </w:r>
      <w:r w:rsidR="00AE2AFB">
        <w:t>continued to release hormones into adulthood</w:t>
      </w:r>
      <w:r w:rsidRPr="00BC0B96">
        <w:t xml:space="preserve">. At adulthood mice underwent 3 days social defeat and were tested in a social interaction test two weeks later. </w:t>
      </w:r>
    </w:p>
    <w:p w14:paraId="35AB724E" w14:textId="1E9E6C13" w:rsidR="008B112A" w:rsidRPr="00BC0B96" w:rsidRDefault="008B112A" w:rsidP="00723F97">
      <w:pPr>
        <w:spacing w:line="360" w:lineRule="auto"/>
      </w:pPr>
      <w:r w:rsidRPr="00BC0B96">
        <w:t xml:space="preserve">     Intact females were randomly assigned to receive a DHT or empty implant at PN35-PN40 as described for males. At PN90 all mice were tested in a social interaction test. Three days later females were exposed to 3 days of social defeat on consecutive days. One</w:t>
      </w:r>
      <w:r w:rsidR="0063584A" w:rsidRPr="00BC0B96">
        <w:t>-</w:t>
      </w:r>
      <w:r w:rsidRPr="00BC0B96">
        <w:t xml:space="preserve">week later females were tested again in a social interaction test. This within-subjects design produces behavioral effects similar to the between-subjects design used for males </w:t>
      </w:r>
      <w:r w:rsidRPr="00BC0B96">
        <w:fldChar w:fldCharType="begin"/>
      </w:r>
      <w:r w:rsidR="00191B76">
        <w:instrText xml:space="preserve"> ADDIN ZOTERO_ITEM CSL_CITATION {"citationID":"5gSZv4Jc","properties":{"formattedCitation":"(106)","plainCitation":"(106)","noteIndex":0},"citationItems":[{"id":8942,"uris":["http://zotero.org/users/5661202/items/736SASUM"],"itemData":{"id":8942,"type":"article-journal","abstract":"Domesticated mice and rats have shown to be powerful model systems for biomedical research, but there are cases in which the biology of species is a poor match for the hypotheses under study. The California mouse (Peromyscus californicus) has unique traits that make it an ideal model for studying biological mechanisms underlying human-relevant behaviors such as intra-female aggression, biparental care, and monogamy. Indeed, peer-reviewed scientific publications using California mouse as a model for behavioral research have more than doubled in the past decade. Critically, behavioral outcomes in captive animals can be profoundly affected by housing conditions, but there is very limited knowledge regarding species-specific housing needs in California mice. Currently, California mouse investigators have to rely on guidelines aimed for more common laboratory species that show vastly different physiology, behavior, and/or ecological niche. This not only could be suboptimal for animals’ welfare, but also result in lack of standardization that could potentially compromise experimental reproducibility and replicability across laboratories. With the aim of assessing how different housing systems can affect California mouse behavior both in the home cage as well as the open field and social interaction tests before and after social defeat stress, here we tested three different caging systems: 1. Standard mouse cage, 2. Large cage, and 3. Large cage + environmental enrichment (EE), which focused on increasing vertical complexity based on observations that California mice are semiarboreal in the wild. We found that the effects of housing were largely sex specific: compared to standard cages, in females large + EE reduced home cage stereotypic-like backflipping and rearing behaviors, while large cage increased social interactions. In males, the large + EE cage reduced rearing and digging but did not significantly affect backflipping behavior. Interestingly, while there were no significant differences in the open field and social interaction pre-stress behaviors, large and large + EE housing increased the sensitivity of these tests to detect stress induced phenotypes in females. Together, these results suggest that increasing social and environmental complexity affects home cage behaviors in male and female California mice without interfering with, but rather increasing the magnitude of, the effects of defeat stress on the open field and social interaction tests.","container-title":"Applied Animal Behaviour Science","DOI":"10.1016/j.applanim.2021.105381","ISSN":"0168-1591","journalAbbreviation":"Applied Animal Behaviour Science","language":"en","page":"105381","source":"ScienceDirect","title":"Enriched laboratory housing increases sensitivity to social stress in female California mice (Peromyscus californicus)","volume":"241","author":[{"family":"Minie","given":"Vanessa A."},{"family":"Petric","given":"Radmila"},{"family":"Ramos-Maciel","given":"Stephanie"},{"family":"Wright","given":"Emily C."},{"family":"Trainor","given":"Brian C."},{"family":"Duque-Wilckens","given":"Natalia"}],"issued":{"date-parts":[["2021",8,1]]}}}],"schema":"https://github.com/citation-style-language/schema/raw/master/csl-citation.json"} </w:instrText>
      </w:r>
      <w:r w:rsidRPr="00BC0B96">
        <w:fldChar w:fldCharType="separate"/>
      </w:r>
      <w:r w:rsidR="00191B76" w:rsidRPr="00191B76">
        <w:rPr>
          <w:rFonts w:ascii="Calibri" w:hAnsi="Calibri" w:cs="Calibri"/>
          <w:sz w:val="24"/>
        </w:rPr>
        <w:t>(106)</w:t>
      </w:r>
      <w:r w:rsidRPr="00BC0B96">
        <w:fldChar w:fldCharType="end"/>
      </w:r>
      <w:r w:rsidRPr="00BC0B96">
        <w:t xml:space="preserve">.  </w:t>
      </w:r>
    </w:p>
    <w:p w14:paraId="0D4CF7ED" w14:textId="77777777" w:rsidR="008B112A" w:rsidRPr="00BC0B96" w:rsidRDefault="008B112A" w:rsidP="00723F97">
      <w:pPr>
        <w:spacing w:line="360" w:lineRule="auto"/>
        <w:rPr>
          <w:rFonts w:cstheme="minorHAnsi"/>
          <w:u w:val="single"/>
        </w:rPr>
      </w:pPr>
    </w:p>
    <w:p w14:paraId="5CCFED8D" w14:textId="77777777" w:rsidR="008B112A" w:rsidRPr="00BC0B96" w:rsidRDefault="008B112A" w:rsidP="00723F97">
      <w:pPr>
        <w:spacing w:line="360" w:lineRule="auto"/>
        <w:rPr>
          <w:rFonts w:eastAsia="Times New Roman"/>
          <w:u w:val="single"/>
        </w:rPr>
      </w:pPr>
      <w:r w:rsidRPr="00BC0B96">
        <w:rPr>
          <w:rFonts w:eastAsia="Times New Roman"/>
          <w:u w:val="single"/>
        </w:rPr>
        <w:t>Immunohistochemistry</w:t>
      </w:r>
    </w:p>
    <w:p w14:paraId="11EFD2E4" w14:textId="4E79621C" w:rsidR="008B112A" w:rsidRPr="00BC0B96" w:rsidRDefault="008B112A" w:rsidP="00723F97">
      <w:pPr>
        <w:spacing w:line="360" w:lineRule="auto"/>
        <w:rPr>
          <w:rFonts w:eastAsia="Times New Roman"/>
        </w:rPr>
      </w:pPr>
      <w:r w:rsidRPr="00BC0B96">
        <w:rPr>
          <w:rFonts w:eastAsia="Times New Roman"/>
        </w:rPr>
        <w:t xml:space="preserve">      Sections from castrated or intact males were stained for either oxytocin/c-fos (PVN) or c-fos (anteromedial BNST) as previously described</w:t>
      </w:r>
      <w:r w:rsidR="12AED6A2" w:rsidRPr="00BC0B96">
        <w:rPr>
          <w:rFonts w:eastAsia="Times New Roman"/>
        </w:rPr>
        <w:t xml:space="preserve"> (</w:t>
      </w:r>
      <w:r w:rsidRPr="00BC0B96">
        <w:rPr>
          <w:rFonts w:eastAsia="Times New Roman"/>
        </w:rPr>
        <w:fldChar w:fldCharType="begin"/>
      </w:r>
      <w:r w:rsidR="00563A6D" w:rsidRPr="00BC0B96">
        <w:rPr>
          <w:rFonts w:eastAsia="Times New Roman"/>
        </w:rPr>
        <w:instrText xml:space="preserve"> ADDIN ZOTERO_ITEM CSL_CITATION {"citationID":"L6W7kwrW","properties":{"formattedCitation":"(37)","plainCitation":"(37)","noteIndex":0},"citationItems":[{"id":7019,"uris":["http://zotero.org/users/5661202/items/9TRSGP8G"],"itemData":{"id":7019,"type":"article-journal","abstract":"Background\nOxytocin (OT) is considered to be a stress-buffering hormone, dampening the physiologic effects of stress. However, OT can also be anxiogenic. We examined acute and long-lasting effects of social defeat on OT neurons in male and female California mice.\nMethods\nWe used immunohistochemistry for OT and c-fos cells to examine OT neuron activity immediately after defeat (n = 6–9) and 2 weeks (n = 6–9) and 10 weeks (n = 4–5) later. We quantified Oxt messenger RNA with quantitative polymerase chain reaction (n = 5–9). Intranasal OT was administered to naïve and stressed mice tested in social interaction and resident-intruder tests (n = 8–14).\nResults\nAcute exposure to a third episode of defeat increased OT/c-fos colocalizations in the paraventricular nucleus of both sexes. In the medioventral bed nucleus of the stria terminalis, defeat increased Oxt messenger RNA, total OT neurons, and OT/c-fos colocalizations in female mice but not male mice. Intranasal OT failed to reverse stress-induced social withdrawal in female mice and reduced social interaction behavior in female mice naïve to defeat. In contrast, intranasal OT increased social interaction in stressed male mice and reduced freezing in the resident-intruder test.\nConclusions\nSocial defeat induces long-lasting increases in OT production and OT/c-fos cells in the medioventral bed nucleus of the stria terminalis of female mice but not male mice. Intranasal OT largely reversed the effects of stress on behavior in male mice, but effects were mixed in female mice. These results suggest that changes in OT-sensitive networks contribute to sex differences in behavioral responses to stress.","collection-title":"Corticotropin-Releasing Factor, FKBP5, and Posttraumatic Stress Disorder","container-title":"Biological Psychiatry","DOI":"10.1016/j.biopsych.2015.10.007","ISSN":"0006-3223","issue":"5","journalAbbreviation":"Biological Psychiatry","page":"406-414","source":"ScienceDirect","title":"Sex-Specific Effects of Stress on Oxytocin Neurons Correspond With Responses to Intranasal Oxytocin","volume":"80","author":[{"family":"Steinman","given":"Michael Q."},{"family":"Duque-Wilckens","given":"Natalia"},{"family":"Greenberg","given":"Gian D."},{"family":"Hao","given":"Rebecca"},{"family":"Campi","given":"Katharine L."},{"family":"Laredo","given":"Sarah A."},{"family":"Laman-Maharg","given":"Abigail"},{"family":"Manning","given":"Claire E."},{"family":"Doig","given":"Ian E."},{"family":"Lopez","given":"Eduardo M."},{"family":"Walch","given":"Keenan"},{"family":"Bales","given":"Karen L."},{"family":"Trainor","given":"Brian C."}],"issued":{"date-parts":[["2016",9,1]]}}}],"schema":"https://github.com/citation-style-language/schema/raw/master/csl-citation.json"} </w:instrText>
      </w:r>
      <w:r w:rsidRPr="00BC0B96">
        <w:rPr>
          <w:rFonts w:eastAsia="Times New Roman"/>
        </w:rPr>
        <w:fldChar w:fldCharType="separate"/>
      </w:r>
      <w:r w:rsidR="00372B19" w:rsidRPr="00372B19">
        <w:rPr>
          <w:rFonts w:ascii="Calibri" w:hAnsi="Calibri" w:cs="Calibri"/>
          <w:sz w:val="24"/>
        </w:rPr>
        <w:t>(37)</w:t>
      </w:r>
      <w:r w:rsidRPr="00BC0B96">
        <w:rPr>
          <w:rFonts w:eastAsia="Times New Roman"/>
        </w:rPr>
        <w:fldChar w:fldCharType="end"/>
      </w:r>
      <w:r w:rsidRPr="00BC0B96">
        <w:rPr>
          <w:rFonts w:eastAsia="Times New Roman"/>
        </w:rPr>
        <w:t>.</w:t>
      </w:r>
      <w:r w:rsidR="00C6213B" w:rsidRPr="00BC0B96">
        <w:rPr>
          <w:rFonts w:eastAsia="Times New Roman"/>
        </w:rPr>
        <w:t xml:space="preserve"> Full methods described </w:t>
      </w:r>
      <w:r w:rsidR="30686B1A" w:rsidRPr="00BC0B96">
        <w:rPr>
          <w:rFonts w:eastAsia="Times New Roman"/>
        </w:rPr>
        <w:t>i</w:t>
      </w:r>
      <w:r w:rsidR="30686B1A" w:rsidRPr="00BC0B96">
        <w:t>n</w:t>
      </w:r>
      <w:r w:rsidR="002B0176" w:rsidRPr="00BC0B96">
        <w:t xml:space="preserve"> SI Appendix Supplementary Methods.</w:t>
      </w:r>
      <w:r w:rsidRPr="00BC0B96">
        <w:rPr>
          <w:rFonts w:eastAsia="Times New Roman"/>
        </w:rPr>
        <w:t xml:space="preserve"> </w:t>
      </w:r>
    </w:p>
    <w:p w14:paraId="1549A337" w14:textId="77777777" w:rsidR="002B0176" w:rsidRPr="00BC0B96" w:rsidRDefault="002B0176" w:rsidP="00723F97">
      <w:pPr>
        <w:spacing w:line="360" w:lineRule="auto"/>
        <w:rPr>
          <w:rFonts w:cstheme="minorHAnsi"/>
          <w:u w:val="single"/>
        </w:rPr>
      </w:pPr>
    </w:p>
    <w:p w14:paraId="387A1FFD" w14:textId="77777777" w:rsidR="008B112A" w:rsidRPr="00BC0B96" w:rsidRDefault="008B112A" w:rsidP="00723F97">
      <w:pPr>
        <w:spacing w:line="360" w:lineRule="auto"/>
        <w:rPr>
          <w:u w:val="single"/>
        </w:rPr>
      </w:pPr>
      <w:r w:rsidRPr="00BC0B96">
        <w:rPr>
          <w:u w:val="single"/>
        </w:rPr>
        <w:t>Juvenile Social Defeat + OTA Injections</w:t>
      </w:r>
    </w:p>
    <w:p w14:paraId="2529DE41" w14:textId="4AB0310B" w:rsidR="008B112A" w:rsidRPr="00BC0B96" w:rsidRDefault="008B112A" w:rsidP="00723F97">
      <w:pPr>
        <w:spacing w:line="360" w:lineRule="auto"/>
      </w:pPr>
      <w:r w:rsidRPr="00BC0B96">
        <w:t xml:space="preserve">      Male and female juveniles (PN34-36) underwent 3 consecutive days of social defeat stress. At P50 mice were tested in a social interaction test. 30 minutes before the start of the social interaction test, each mouse received an intraperitoneal (</w:t>
      </w:r>
      <w:proofErr w:type="spellStart"/>
      <w:r w:rsidRPr="00BC0B96">
        <w:t>i.p.</w:t>
      </w:r>
      <w:proofErr w:type="spellEnd"/>
      <w:r w:rsidRPr="00BC0B96">
        <w:t xml:space="preserve">) injection of 5mg/kg or 10mg/kg of the oxytocin antagonist (OTA) L-368,899 </w:t>
      </w:r>
      <w:r w:rsidRPr="00BC0B96">
        <w:fldChar w:fldCharType="begin"/>
      </w:r>
      <w:r w:rsidR="00C327F5">
        <w:instrText xml:space="preserve"> ADDIN ZOTERO_ITEM CSL_CITATION {"citationID":"9VWZco5b","properties":{"formattedCitation":"(40)","plainCitation":"(40)","noteIndex":0},"citationItems":[{"id":"dX9booob/pkuI86ee","uris":["http://zotero.org/users/local/0DUDweI1/items/IX6SBVZE"],"itemData":{"id":970,"type":"article-journal","abstract":"Background The neuropeptide oxytocin (OT) is a key regulator of social and emotional behaviors. The effects of OT are context dependent, and it has been proposed that OT increases the salience of both positive and negative social cues. Here we tested whether the bed nucleus of the stria terminalis (BNST) mediates anxiogenic effects of OT. Methods First, we studied the effects of systemic administration of an OT receptor (OTR) antagonist L-368,899 on social behavior in male and female California mice exposed to social defeat. We examined the effect of L-368,899 on G protein activation and used early growth response factor 1 immunohistochemistry to identify potential sites of OTR action. Finally, we examined the effects of L-368,899 infused in the BNST on behavior. Results A single dose of systemic L-368,899 increased social approach in stressed female mice and decreased social approach in male mice naïve to defeat. L-368,899 prevented OT activation of G proteins and did not activate G proteins in the absence of OT. Intranasal OT, which reduces social approach in female mice but not male mice, increased early growth response factor 1 immunoreactivity in the nucleus accumbens core and anteromedial BNST in female mice but not in male mice. Stressed female mice that received an infusion of L-368,899 into the anteromedial BNST but not the nucleus accumbens core increased social approach and decreased social vigilance responses. Conclusions Our results suggest that OTR activation in anteromedial BNST induces a vigilance response in which individuals avoid, yet attend to, unfamiliar social contexts. Our results suggest that OTR antagonists may have unappreciated therapeutic potential for stress-induced psychiatric disorders.","container-title":"Biol Psychiatry","DOI":"https://doi.org/10.1016/j.biopsych.2017.08.024","ISSN":"0006-3223","issue":"3","journalAbbreviation":"Biological psychiatry","page":"203-213","title":"Oxytocin Receptors in the Anteromedial Bed Nucleus of the Stria Terminalis Promote Stress-Induced Social Avoidance in Female California Mice","volume":"83","author":[{"family":"Duque-Wilckens","given":"Natalia"},{"family":"Steinman","given":"Michael Q."},{"family":"Busnelli","given":"Marta"},{"family":"Chini","given":"Bice"},{"family":"Yokoyama","given":"Sae"},{"family":"Pham","given":"Mary"},{"family":"Laredo","given":"Sarah A."},{"family":"Hao","given":"Rebecca"},{"family":"Perkeybile","given":"Allison M."},{"family":"Minie","given":"Vanessa A."},{"family":"Tan","given":"Phillip B."},{"family":"Bales","given":"Karen L."},{"family":"Trainor","given":"Brian C."}],"issued":{"date-parts":[["2018",2,1]]}}}],"schema":"https://github.com/citation-style-language/schema/raw/master/csl-citation.json"} </w:instrText>
      </w:r>
      <w:r w:rsidRPr="00BC0B96">
        <w:fldChar w:fldCharType="separate"/>
      </w:r>
      <w:r w:rsidR="00563A6D" w:rsidRPr="00BC0B96">
        <w:rPr>
          <w:rFonts w:ascii="Calibri" w:hAnsi="Calibri" w:cs="Calibri"/>
          <w:sz w:val="24"/>
        </w:rPr>
        <w:t>(40)</w:t>
      </w:r>
      <w:r w:rsidRPr="00BC0B96">
        <w:fldChar w:fldCharType="end"/>
      </w:r>
      <w:r w:rsidRPr="00BC0B96">
        <w:t xml:space="preserve">, or an injection of sterile phosphate buffered saline (PBS). </w:t>
      </w:r>
    </w:p>
    <w:p w14:paraId="52402E9E" w14:textId="77777777" w:rsidR="008B112A" w:rsidRPr="00BC0B96" w:rsidRDefault="008B112A" w:rsidP="00723F97">
      <w:pPr>
        <w:spacing w:line="360" w:lineRule="auto"/>
        <w:rPr>
          <w:rFonts w:cstheme="minorHAnsi"/>
        </w:rPr>
      </w:pPr>
    </w:p>
    <w:p w14:paraId="0349366C" w14:textId="77777777" w:rsidR="008B112A" w:rsidRPr="00BC0B96" w:rsidRDefault="008B112A" w:rsidP="00723F97">
      <w:pPr>
        <w:spacing w:line="360" w:lineRule="auto"/>
        <w:rPr>
          <w:rFonts w:cstheme="minorHAnsi"/>
          <w:u w:val="single"/>
        </w:rPr>
      </w:pPr>
      <w:r w:rsidRPr="00BC0B96">
        <w:rPr>
          <w:rFonts w:cstheme="minorHAnsi"/>
          <w:u w:val="single"/>
        </w:rPr>
        <w:t>Statistics</w:t>
      </w:r>
    </w:p>
    <w:p w14:paraId="2B0706B9" w14:textId="77777777" w:rsidR="008B112A" w:rsidRPr="00BC0B96" w:rsidRDefault="008B112A" w:rsidP="00723F97">
      <w:pPr>
        <w:spacing w:line="360" w:lineRule="auto"/>
      </w:pPr>
      <w:r w:rsidRPr="00BC0B96">
        <w:lastRenderedPageBreak/>
        <w:t xml:space="preserve">     Statistical analyses for experiments (excluding fiber photometry experiments) were performed using R statistical software. Normality was assessed via QQPlot. A Flinger-Killen test was used to assess homogeneity of variance. Steroid hormone data were log transformed for analysis. Hormone and most behavioral and cell count data were analyzed using ANOVA with planned comparisons for comparing treatment groups with controls. Social vigilance and oxytocin/c-fos colocalization data had heterogeneous variability, so non-parametric analyses were used. Full methods of photometry data analyses described in SI Appendix Supplementary Methods.</w:t>
      </w:r>
    </w:p>
    <w:p w14:paraId="2E4CAF39" w14:textId="77777777" w:rsidR="00E6133D" w:rsidRDefault="00E6133D" w:rsidP="00723F97">
      <w:pPr>
        <w:pBdr>
          <w:top w:val="nil"/>
          <w:left w:val="nil"/>
          <w:bottom w:val="nil"/>
          <w:right w:val="nil"/>
          <w:between w:val="nil"/>
        </w:pBdr>
        <w:spacing w:line="360" w:lineRule="auto"/>
        <w:contextualSpacing/>
        <w:rPr>
          <w:rFonts w:ascii="Arial" w:hAnsi="Arial" w:cs="Arial"/>
          <w:color w:val="000000"/>
          <w:sz w:val="20"/>
          <w:szCs w:val="20"/>
        </w:rPr>
      </w:pPr>
    </w:p>
    <w:p w14:paraId="4EEAE8C9" w14:textId="77777777" w:rsidR="00980C22" w:rsidRPr="00980C22" w:rsidRDefault="00980C22" w:rsidP="00723F97">
      <w:pPr>
        <w:pBdr>
          <w:top w:val="nil"/>
          <w:left w:val="nil"/>
          <w:bottom w:val="nil"/>
          <w:right w:val="nil"/>
          <w:between w:val="nil"/>
        </w:pBdr>
        <w:spacing w:line="360" w:lineRule="auto"/>
        <w:contextualSpacing/>
        <w:rPr>
          <w:rFonts w:ascii="Arial" w:hAnsi="Arial" w:cs="Arial"/>
          <w:color w:val="000000"/>
          <w:sz w:val="20"/>
          <w:szCs w:val="20"/>
        </w:rPr>
      </w:pPr>
    </w:p>
    <w:p w14:paraId="24F14103" w14:textId="77777777" w:rsidR="00E6133D" w:rsidRPr="00980C22" w:rsidRDefault="00E6133D" w:rsidP="00723F97">
      <w:pPr>
        <w:pBdr>
          <w:top w:val="nil"/>
          <w:left w:val="nil"/>
          <w:bottom w:val="nil"/>
          <w:right w:val="nil"/>
          <w:between w:val="nil"/>
        </w:pBdr>
        <w:spacing w:line="360" w:lineRule="auto"/>
        <w:contextualSpacing/>
        <w:rPr>
          <w:rFonts w:ascii="Arial" w:hAnsi="Arial" w:cs="Arial"/>
          <w:b/>
          <w:color w:val="000000"/>
          <w:sz w:val="20"/>
          <w:szCs w:val="20"/>
        </w:rPr>
      </w:pPr>
      <w:r w:rsidRPr="00F649EE">
        <w:rPr>
          <w:rFonts w:ascii="Arial" w:hAnsi="Arial" w:cs="Arial"/>
          <w:b/>
          <w:color w:val="000000"/>
          <w:sz w:val="20"/>
          <w:szCs w:val="20"/>
        </w:rPr>
        <w:t>Acknowledgments</w:t>
      </w:r>
    </w:p>
    <w:p w14:paraId="5657C956" w14:textId="77777777" w:rsidR="00E6133D" w:rsidRPr="00980C22" w:rsidRDefault="00E6133D" w:rsidP="00723F97">
      <w:pPr>
        <w:pBdr>
          <w:top w:val="nil"/>
          <w:left w:val="nil"/>
          <w:bottom w:val="nil"/>
          <w:right w:val="nil"/>
          <w:between w:val="nil"/>
        </w:pBdr>
        <w:spacing w:line="360" w:lineRule="auto"/>
        <w:contextualSpacing/>
        <w:rPr>
          <w:rFonts w:ascii="Arial" w:hAnsi="Arial" w:cs="Arial"/>
          <w:b/>
          <w:color w:val="000000"/>
          <w:sz w:val="20"/>
          <w:szCs w:val="20"/>
        </w:rPr>
      </w:pPr>
    </w:p>
    <w:p w14:paraId="5C3C5EBB" w14:textId="27416B52" w:rsidR="00C3442F" w:rsidRDefault="00C3442F" w:rsidP="00723F97">
      <w:pPr>
        <w:spacing w:line="360" w:lineRule="auto"/>
        <w:rPr>
          <w:color w:val="000000" w:themeColor="text1"/>
        </w:rPr>
      </w:pPr>
      <w:r>
        <w:rPr>
          <w:color w:val="000000" w:themeColor="text1"/>
        </w:rPr>
        <w:t xml:space="preserve">Thanks to C. Dong and J. </w:t>
      </w:r>
      <w:proofErr w:type="spellStart"/>
      <w:r>
        <w:rPr>
          <w:color w:val="000000" w:themeColor="text1"/>
        </w:rPr>
        <w:t>Roshgadol</w:t>
      </w:r>
      <w:proofErr w:type="spellEnd"/>
      <w:r>
        <w:rPr>
          <w:color w:val="000000" w:themeColor="text1"/>
        </w:rPr>
        <w:t xml:space="preserve"> for assistance with fiber photometry, A Bentz for helpful discussions</w:t>
      </w:r>
      <w:r w:rsidR="008113A2">
        <w:rPr>
          <w:color w:val="000000" w:themeColor="text1"/>
        </w:rPr>
        <w:t>, N. Duque-Wilckens for drawings</w:t>
      </w:r>
      <w:r>
        <w:rPr>
          <w:color w:val="000000" w:themeColor="text1"/>
        </w:rPr>
        <w:t xml:space="preserve">. </w:t>
      </w:r>
      <w:r w:rsidRPr="1CD04D48">
        <w:rPr>
          <w:color w:val="000000" w:themeColor="text1"/>
        </w:rPr>
        <w:t xml:space="preserve">This work was supported by NIH </w:t>
      </w:r>
      <w:r w:rsidRPr="1CD04D48">
        <w:rPr>
          <w:rStyle w:val="full"/>
        </w:rPr>
        <w:t>F32MH125597 to ECW, NIH P51OD011107 to ASF,</w:t>
      </w:r>
      <w:r w:rsidRPr="009B67BF">
        <w:rPr>
          <w:rFonts w:eastAsia="Times New Roman"/>
          <w:lang w:val="en-CA"/>
        </w:rPr>
        <w:t xml:space="preserve"> </w:t>
      </w:r>
      <w:r>
        <w:rPr>
          <w:rFonts w:eastAsia="Times New Roman"/>
          <w:lang w:val="en-CA"/>
        </w:rPr>
        <w:t xml:space="preserve">NIH </w:t>
      </w:r>
      <w:r w:rsidRPr="1CD04D48">
        <w:rPr>
          <w:rStyle w:val="full"/>
        </w:rPr>
        <w:t>P51OD011107</w:t>
      </w:r>
      <w:r>
        <w:rPr>
          <w:lang w:val="en-CA"/>
        </w:rPr>
        <w:t xml:space="preserve"> to AK,</w:t>
      </w:r>
      <w:r>
        <w:rPr>
          <w:rStyle w:val="full"/>
        </w:rPr>
        <w:t xml:space="preserve"> NIH U01NS120820 to LT,</w:t>
      </w:r>
      <w:r w:rsidRPr="1CD04D48">
        <w:rPr>
          <w:rStyle w:val="full"/>
        </w:rPr>
        <w:t xml:space="preserve"> </w:t>
      </w:r>
      <w:r w:rsidRPr="1CD04D48">
        <w:rPr>
          <w:color w:val="000000" w:themeColor="text1"/>
        </w:rPr>
        <w:t xml:space="preserve">NSF IOS1937335, NIH </w:t>
      </w:r>
      <w:r>
        <w:rPr>
          <w:color w:val="000000" w:themeColor="text1"/>
        </w:rPr>
        <w:t>R01</w:t>
      </w:r>
      <w:r w:rsidRPr="1CD04D48">
        <w:rPr>
          <w:color w:val="000000" w:themeColor="text1"/>
        </w:rPr>
        <w:t>MH121829, and a UC Davis Academic Senate Grant to BCT.</w:t>
      </w:r>
    </w:p>
    <w:p w14:paraId="557C004D" w14:textId="77777777" w:rsidR="00980C22" w:rsidRPr="00980C22" w:rsidRDefault="00980C22" w:rsidP="00E6133D">
      <w:pPr>
        <w:pBdr>
          <w:top w:val="nil"/>
          <w:left w:val="nil"/>
          <w:bottom w:val="nil"/>
          <w:right w:val="nil"/>
          <w:between w:val="nil"/>
        </w:pBdr>
        <w:contextualSpacing/>
        <w:rPr>
          <w:rFonts w:ascii="Arial" w:hAnsi="Arial" w:cs="Arial"/>
          <w:color w:val="000000"/>
          <w:sz w:val="20"/>
          <w:szCs w:val="20"/>
        </w:rPr>
      </w:pPr>
    </w:p>
    <w:p w14:paraId="3EAB21F4" w14:textId="77777777" w:rsidR="00E6133D" w:rsidRPr="00980C22" w:rsidRDefault="00E6133D" w:rsidP="00BD1FB4">
      <w:pPr>
        <w:pBdr>
          <w:top w:val="nil"/>
          <w:left w:val="nil"/>
          <w:bottom w:val="nil"/>
          <w:right w:val="nil"/>
          <w:between w:val="nil"/>
        </w:pBdr>
        <w:contextualSpacing/>
        <w:rPr>
          <w:rFonts w:ascii="Arial" w:hAnsi="Arial" w:cs="Arial"/>
          <w:color w:val="000000"/>
          <w:sz w:val="20"/>
          <w:szCs w:val="20"/>
        </w:rPr>
      </w:pPr>
      <w:r w:rsidRPr="00F649EE">
        <w:rPr>
          <w:rFonts w:ascii="Arial" w:hAnsi="Arial" w:cs="Arial"/>
          <w:b/>
          <w:color w:val="000000"/>
          <w:sz w:val="20"/>
          <w:szCs w:val="20"/>
        </w:rPr>
        <w:t>References</w:t>
      </w:r>
    </w:p>
    <w:p w14:paraId="46426A40" w14:textId="77777777" w:rsidR="00E6133D" w:rsidRPr="00980C22" w:rsidRDefault="00E6133D" w:rsidP="00BD1FB4">
      <w:pPr>
        <w:pBdr>
          <w:top w:val="nil"/>
          <w:left w:val="nil"/>
          <w:bottom w:val="nil"/>
          <w:right w:val="nil"/>
          <w:between w:val="nil"/>
        </w:pBdr>
        <w:contextualSpacing/>
        <w:rPr>
          <w:rFonts w:ascii="Arial" w:hAnsi="Arial" w:cs="Arial"/>
          <w:color w:val="000000"/>
          <w:sz w:val="20"/>
          <w:szCs w:val="20"/>
        </w:rPr>
      </w:pPr>
    </w:p>
    <w:p w14:paraId="5DC89702" w14:textId="77777777" w:rsidR="00501F3A" w:rsidRDefault="00C3442F" w:rsidP="00501F3A">
      <w:pPr>
        <w:pStyle w:val="Bibliography"/>
      </w:pPr>
      <w:r>
        <w:rPr>
          <w:rFonts w:ascii="Arial" w:hAnsi="Arial" w:cs="Arial"/>
          <w:color w:val="000000"/>
          <w:sz w:val="20"/>
          <w:szCs w:val="20"/>
        </w:rPr>
        <w:fldChar w:fldCharType="begin"/>
      </w:r>
      <w:r w:rsidR="00372B19">
        <w:rPr>
          <w:rFonts w:ascii="Arial" w:hAnsi="Arial" w:cs="Arial"/>
          <w:color w:val="000000"/>
          <w:sz w:val="20"/>
          <w:szCs w:val="20"/>
        </w:rPr>
        <w:instrText xml:space="preserve"> ADDIN ZOTERO_BIBL {"uncited":[],"omitted":[],"custom":[]} CSL_BIBLIOGRAPHY </w:instrText>
      </w:r>
      <w:r>
        <w:rPr>
          <w:rFonts w:ascii="Arial" w:hAnsi="Arial" w:cs="Arial"/>
          <w:color w:val="000000"/>
          <w:sz w:val="20"/>
          <w:szCs w:val="20"/>
        </w:rPr>
        <w:fldChar w:fldCharType="separate"/>
      </w:r>
      <w:r w:rsidR="00501F3A">
        <w:t xml:space="preserve">1. </w:t>
      </w:r>
      <w:r w:rsidR="00501F3A">
        <w:tab/>
        <w:t xml:space="preserve">R. C. Kessler, </w:t>
      </w:r>
      <w:r w:rsidR="00501F3A">
        <w:rPr>
          <w:i/>
          <w:iCs/>
        </w:rPr>
        <w:t>et al.</w:t>
      </w:r>
      <w:r w:rsidR="00501F3A">
        <w:t xml:space="preserve">, Lifetime prevalence and age-of-onset distributions of DSM-IV disorders in the National Comorbidity Survey Replication. </w:t>
      </w:r>
      <w:r w:rsidR="00501F3A">
        <w:rPr>
          <w:i/>
          <w:iCs/>
        </w:rPr>
        <w:t>Arch. Gen. Psychiatry</w:t>
      </w:r>
      <w:r w:rsidR="00501F3A">
        <w:t xml:space="preserve"> </w:t>
      </w:r>
      <w:r w:rsidR="00501F3A">
        <w:rPr>
          <w:b/>
          <w:bCs/>
        </w:rPr>
        <w:t>62</w:t>
      </w:r>
      <w:r w:rsidR="00501F3A">
        <w:t>, 593–602 (2005).</w:t>
      </w:r>
    </w:p>
    <w:p w14:paraId="73561F62" w14:textId="77777777" w:rsidR="00501F3A" w:rsidRDefault="00501F3A" w:rsidP="00501F3A">
      <w:pPr>
        <w:pStyle w:val="Bibliography"/>
      </w:pPr>
      <w:r>
        <w:t xml:space="preserve">2. </w:t>
      </w:r>
      <w:r>
        <w:tab/>
        <w:t xml:space="preserve">S. E. Bruce, </w:t>
      </w:r>
      <w:r>
        <w:rPr>
          <w:i/>
          <w:iCs/>
        </w:rPr>
        <w:t>et al.</w:t>
      </w:r>
      <w:r>
        <w:t xml:space="preserve">, Influence of Psychiatric Comorbidity on Recovery and Recurrence in Generalized Anxiety Disorder, Social Phobia, and Panic Disorder: A 12-Year Prospective Study. </w:t>
      </w:r>
      <w:r>
        <w:rPr>
          <w:i/>
          <w:iCs/>
        </w:rPr>
        <w:t>AJP</w:t>
      </w:r>
      <w:r>
        <w:t xml:space="preserve"> </w:t>
      </w:r>
      <w:r>
        <w:rPr>
          <w:b/>
          <w:bCs/>
        </w:rPr>
        <w:t>162</w:t>
      </w:r>
      <w:r>
        <w:t>, 1179–1187 (2005).</w:t>
      </w:r>
    </w:p>
    <w:p w14:paraId="49FEF5E0" w14:textId="77777777" w:rsidR="00501F3A" w:rsidRDefault="00501F3A" w:rsidP="00501F3A">
      <w:pPr>
        <w:pStyle w:val="Bibliography"/>
      </w:pPr>
      <w:r>
        <w:t xml:space="preserve">3. </w:t>
      </w:r>
      <w:r>
        <w:tab/>
        <w:t xml:space="preserve">D. A. Bangasser, A. Cuarenta, Sex differences in anxiety and depression: circuits and mechanisms. </w:t>
      </w:r>
      <w:r>
        <w:rPr>
          <w:i/>
          <w:iCs/>
        </w:rPr>
        <w:t>Nat Rev Neurosci</w:t>
      </w:r>
      <w:r>
        <w:t xml:space="preserve"> </w:t>
      </w:r>
      <w:r>
        <w:rPr>
          <w:b/>
          <w:bCs/>
        </w:rPr>
        <w:t>22</w:t>
      </w:r>
      <w:r>
        <w:t>, 674–684 (2021).</w:t>
      </w:r>
    </w:p>
    <w:p w14:paraId="552B7534" w14:textId="77777777" w:rsidR="00501F3A" w:rsidRDefault="00501F3A" w:rsidP="00501F3A">
      <w:pPr>
        <w:pStyle w:val="Bibliography"/>
      </w:pPr>
      <w:r>
        <w:t xml:space="preserve">4. </w:t>
      </w:r>
      <w:r>
        <w:tab/>
        <w:t xml:space="preserve">C. L. Wellman, </w:t>
      </w:r>
      <w:r>
        <w:rPr>
          <w:i/>
          <w:iCs/>
        </w:rPr>
        <w:t>et al.</w:t>
      </w:r>
      <w:r>
        <w:t xml:space="preserve">, Sex Differences in Risk and Resilience: Stress Effects on the Neural Substrates of Emotion and Motivation. </w:t>
      </w:r>
      <w:r>
        <w:rPr>
          <w:i/>
          <w:iCs/>
        </w:rPr>
        <w:t>J. Neurosci.</w:t>
      </w:r>
      <w:r>
        <w:t xml:space="preserve"> </w:t>
      </w:r>
      <w:r>
        <w:rPr>
          <w:b/>
          <w:bCs/>
        </w:rPr>
        <w:t>38</w:t>
      </w:r>
      <w:r>
        <w:t>, 9423–9432 (2018).</w:t>
      </w:r>
    </w:p>
    <w:p w14:paraId="7F3C3C21" w14:textId="77777777" w:rsidR="00501F3A" w:rsidRDefault="00501F3A" w:rsidP="00501F3A">
      <w:pPr>
        <w:pStyle w:val="Bibliography"/>
      </w:pPr>
      <w:r>
        <w:t xml:space="preserve">5. </w:t>
      </w:r>
      <w:r>
        <w:tab/>
        <w:t xml:space="preserve">E. A. Hinton, D. C. Li, A. G. Allen, S. L. Gourley, Social Isolation in Adolescence Disrupts Cortical Development and Goal-Dependent Decision-Making in Adulthood, Despite Social Reintegration. </w:t>
      </w:r>
      <w:r>
        <w:rPr>
          <w:i/>
          <w:iCs/>
        </w:rPr>
        <w:t>eNeuro</w:t>
      </w:r>
      <w:r>
        <w:t xml:space="preserve"> </w:t>
      </w:r>
      <w:r>
        <w:rPr>
          <w:b/>
          <w:bCs/>
        </w:rPr>
        <w:t>6</w:t>
      </w:r>
      <w:r>
        <w:t>, ENEURO.0318-19.2019 (2019).</w:t>
      </w:r>
    </w:p>
    <w:p w14:paraId="44DBC1F0" w14:textId="77777777" w:rsidR="00501F3A" w:rsidRDefault="00501F3A" w:rsidP="00501F3A">
      <w:pPr>
        <w:pStyle w:val="Bibliography"/>
      </w:pPr>
      <w:r>
        <w:lastRenderedPageBreak/>
        <w:t xml:space="preserve">6. </w:t>
      </w:r>
      <w:r>
        <w:tab/>
        <w:t xml:space="preserve">X. Yang, </w:t>
      </w:r>
      <w:r>
        <w:rPr>
          <w:i/>
          <w:iCs/>
        </w:rPr>
        <w:t>et al.</w:t>
      </w:r>
      <w:r>
        <w:t xml:space="preserve">, Global, regional and national burden of anxiety disorders from 1990 to 2019: results from the Global Burden of Disease Study 2019. </w:t>
      </w:r>
      <w:r>
        <w:rPr>
          <w:i/>
          <w:iCs/>
        </w:rPr>
        <w:t>Epidemiology and Psychiatric Sciences</w:t>
      </w:r>
      <w:r>
        <w:t xml:space="preserve"> </w:t>
      </w:r>
      <w:r>
        <w:rPr>
          <w:b/>
          <w:bCs/>
        </w:rPr>
        <w:t>30</w:t>
      </w:r>
      <w:r>
        <w:t>, e36 (2021).</w:t>
      </w:r>
    </w:p>
    <w:p w14:paraId="3DABE915" w14:textId="77777777" w:rsidR="00501F3A" w:rsidRDefault="00501F3A" w:rsidP="00501F3A">
      <w:pPr>
        <w:pStyle w:val="Bibliography"/>
      </w:pPr>
      <w:r>
        <w:t xml:space="preserve">7. </w:t>
      </w:r>
      <w:r>
        <w:tab/>
        <w:t xml:space="preserve">S. A. Hollingworth, P. M. Burgess, H. A. Whiteford, Affective and anxiety disorders: prevalence, treatment and antidepressant medication use. </w:t>
      </w:r>
      <w:r>
        <w:rPr>
          <w:i/>
          <w:iCs/>
        </w:rPr>
        <w:t>Aust N Z J Psychiatry</w:t>
      </w:r>
      <w:r>
        <w:t xml:space="preserve"> </w:t>
      </w:r>
      <w:r>
        <w:rPr>
          <w:b/>
          <w:bCs/>
        </w:rPr>
        <w:t>44</w:t>
      </w:r>
      <w:r>
        <w:t>, 513–519 (2010).</w:t>
      </w:r>
    </w:p>
    <w:p w14:paraId="07199CC1" w14:textId="77777777" w:rsidR="00501F3A" w:rsidRDefault="00501F3A" w:rsidP="00501F3A">
      <w:pPr>
        <w:pStyle w:val="Bibliography"/>
      </w:pPr>
      <w:r>
        <w:t xml:space="preserve">8. </w:t>
      </w:r>
      <w:r>
        <w:tab/>
        <w:t xml:space="preserve">C. Hunt, C. Issakidis, G. Andrews, DSM-IV generalized anxiety disorder in the Australian National Survey of Mental Health and Well-Being. </w:t>
      </w:r>
      <w:r>
        <w:rPr>
          <w:i/>
          <w:iCs/>
        </w:rPr>
        <w:t>Psychological Medicine</w:t>
      </w:r>
      <w:r>
        <w:t xml:space="preserve"> </w:t>
      </w:r>
      <w:r>
        <w:rPr>
          <w:b/>
          <w:bCs/>
        </w:rPr>
        <w:t>32</w:t>
      </w:r>
      <w:r>
        <w:t>, 649–659 (2002).</w:t>
      </w:r>
    </w:p>
    <w:p w14:paraId="7C9F4E95" w14:textId="77777777" w:rsidR="00501F3A" w:rsidRDefault="00501F3A" w:rsidP="00501F3A">
      <w:pPr>
        <w:pStyle w:val="Bibliography"/>
      </w:pPr>
      <w:r>
        <w:t xml:space="preserve">9. </w:t>
      </w:r>
      <w:r>
        <w:tab/>
        <w:t xml:space="preserve">X. Ma, </w:t>
      </w:r>
      <w:r>
        <w:rPr>
          <w:i/>
          <w:iCs/>
        </w:rPr>
        <w:t>et al.</w:t>
      </w:r>
      <w:r>
        <w:t xml:space="preserve">, Generalized Anxiety Disorder in China: Prevalence, Sociodemographic Correlates, Comorbidity, and Suicide Attempts. </w:t>
      </w:r>
      <w:r>
        <w:rPr>
          <w:i/>
          <w:iCs/>
        </w:rPr>
        <w:t>Perspectives in Psychiatric Care</w:t>
      </w:r>
      <w:r>
        <w:t xml:space="preserve"> </w:t>
      </w:r>
      <w:r>
        <w:rPr>
          <w:b/>
          <w:bCs/>
        </w:rPr>
        <w:t>45</w:t>
      </w:r>
      <w:r>
        <w:t>, 119–127 (2009).</w:t>
      </w:r>
    </w:p>
    <w:p w14:paraId="0696AC5C" w14:textId="77777777" w:rsidR="00501F3A" w:rsidRDefault="00501F3A" w:rsidP="00501F3A">
      <w:pPr>
        <w:pStyle w:val="Bibliography"/>
      </w:pPr>
      <w:r>
        <w:t xml:space="preserve">10. </w:t>
      </w:r>
      <w:r>
        <w:tab/>
        <w:t xml:space="preserve">P. Munk-Jørgensen, </w:t>
      </w:r>
      <w:r>
        <w:rPr>
          <w:i/>
          <w:iCs/>
        </w:rPr>
        <w:t>et al.</w:t>
      </w:r>
      <w:r>
        <w:t xml:space="preserve">, Prevalence of Generalized Anxiety Disorder in General Practice in Denmark, Finland, Norway, and Sweden. </w:t>
      </w:r>
      <w:r>
        <w:rPr>
          <w:i/>
          <w:iCs/>
        </w:rPr>
        <w:t>PS</w:t>
      </w:r>
      <w:r>
        <w:t xml:space="preserve"> </w:t>
      </w:r>
      <w:r>
        <w:rPr>
          <w:b/>
          <w:bCs/>
        </w:rPr>
        <w:t>57</w:t>
      </w:r>
      <w:r>
        <w:t>, 1738–1744 (2006).</w:t>
      </w:r>
    </w:p>
    <w:p w14:paraId="5D5EED35" w14:textId="77777777" w:rsidR="00501F3A" w:rsidRDefault="00501F3A" w:rsidP="00501F3A">
      <w:pPr>
        <w:pStyle w:val="Bibliography"/>
      </w:pPr>
      <w:r>
        <w:t xml:space="preserve">11. </w:t>
      </w:r>
      <w:r>
        <w:tab/>
        <w:t xml:space="preserve">O. Remes, C. Brayne, R. van der Linde, L. Lafortune, A systematic review of reviews on the prevalence of anxiety disorders in adult populations. </w:t>
      </w:r>
      <w:r>
        <w:rPr>
          <w:i/>
          <w:iCs/>
        </w:rPr>
        <w:t>Brain and Behavior</w:t>
      </w:r>
      <w:r>
        <w:t xml:space="preserve"> </w:t>
      </w:r>
      <w:r>
        <w:rPr>
          <w:b/>
          <w:bCs/>
        </w:rPr>
        <w:t>6</w:t>
      </w:r>
      <w:r>
        <w:t>, e00497 (2016).</w:t>
      </w:r>
    </w:p>
    <w:p w14:paraId="1DBEF567" w14:textId="77777777" w:rsidR="00501F3A" w:rsidRDefault="00501F3A" w:rsidP="00501F3A">
      <w:pPr>
        <w:pStyle w:val="Bibliography"/>
      </w:pPr>
      <w:r>
        <w:t xml:space="preserve">12. </w:t>
      </w:r>
      <w:r>
        <w:tab/>
        <w:t xml:space="preserve">K. Beesdo, </w:t>
      </w:r>
      <w:r>
        <w:rPr>
          <w:i/>
          <w:iCs/>
        </w:rPr>
        <w:t>et al.</w:t>
      </w:r>
      <w:r>
        <w:t xml:space="preserve">, Incidence of social anxiety disorder and the consistent risk for secondary depression in the first three decades of life. </w:t>
      </w:r>
      <w:r>
        <w:rPr>
          <w:i/>
          <w:iCs/>
        </w:rPr>
        <w:t>Arch. Gen. Psychiatry</w:t>
      </w:r>
      <w:r>
        <w:t xml:space="preserve"> </w:t>
      </w:r>
      <w:r>
        <w:rPr>
          <w:b/>
          <w:bCs/>
        </w:rPr>
        <w:t>64</w:t>
      </w:r>
      <w:r>
        <w:t>, 903–912 (2007).</w:t>
      </w:r>
    </w:p>
    <w:p w14:paraId="41D94084" w14:textId="77777777" w:rsidR="00501F3A" w:rsidRDefault="00501F3A" w:rsidP="00501F3A">
      <w:pPr>
        <w:pStyle w:val="Bibliography"/>
      </w:pPr>
      <w:r>
        <w:t xml:space="preserve">13. </w:t>
      </w:r>
      <w:r>
        <w:tab/>
        <w:t xml:space="preserve">R. E. Dahl, Adolescent brain development: a period of vulnerabilities and opportunities. Keynote address. </w:t>
      </w:r>
      <w:r>
        <w:rPr>
          <w:i/>
          <w:iCs/>
        </w:rPr>
        <w:t>Ann. N. Y. Acad. Sci.</w:t>
      </w:r>
      <w:r>
        <w:t xml:space="preserve"> </w:t>
      </w:r>
      <w:r>
        <w:rPr>
          <w:b/>
          <w:bCs/>
        </w:rPr>
        <w:t>1021</w:t>
      </w:r>
      <w:r>
        <w:t>, 1–22 (2004).</w:t>
      </w:r>
    </w:p>
    <w:p w14:paraId="468CE876" w14:textId="77777777" w:rsidR="00501F3A" w:rsidRDefault="00501F3A" w:rsidP="00501F3A">
      <w:pPr>
        <w:pStyle w:val="Bibliography"/>
      </w:pPr>
      <w:r>
        <w:t xml:space="preserve">14. </w:t>
      </w:r>
      <w:r>
        <w:tab/>
        <w:t xml:space="preserve">C. G. Davey, M. Yücel, N. B. Allen, The emergence of depression in adolescence: development of the prefrontal cortex and the representation of reward. </w:t>
      </w:r>
      <w:r>
        <w:rPr>
          <w:i/>
          <w:iCs/>
        </w:rPr>
        <w:t>Neurosci Biobehav Rev</w:t>
      </w:r>
      <w:r>
        <w:t xml:space="preserve"> </w:t>
      </w:r>
      <w:r>
        <w:rPr>
          <w:b/>
          <w:bCs/>
        </w:rPr>
        <w:t>32</w:t>
      </w:r>
      <w:r>
        <w:t>, 1–19 (2008).</w:t>
      </w:r>
    </w:p>
    <w:p w14:paraId="26BECEE9" w14:textId="77777777" w:rsidR="00501F3A" w:rsidRDefault="00501F3A" w:rsidP="00501F3A">
      <w:pPr>
        <w:pStyle w:val="Bibliography"/>
      </w:pPr>
      <w:r>
        <w:t xml:space="preserve">15. </w:t>
      </w:r>
      <w:r>
        <w:tab/>
        <w:t xml:space="preserve">R. Wesselhoeft, C. B. Pedersen, P. B. Mortensen, O. Mors, N. Bilenberg, Gender–age interaction in incidence rates of childhood emotional disorders. </w:t>
      </w:r>
      <w:r>
        <w:rPr>
          <w:i/>
          <w:iCs/>
        </w:rPr>
        <w:t>Psychological Medicine</w:t>
      </w:r>
      <w:r>
        <w:t xml:space="preserve"> </w:t>
      </w:r>
      <w:r>
        <w:rPr>
          <w:b/>
          <w:bCs/>
        </w:rPr>
        <w:t>45</w:t>
      </w:r>
      <w:r>
        <w:t>, 829–839 (2015).</w:t>
      </w:r>
    </w:p>
    <w:p w14:paraId="01148489" w14:textId="77777777" w:rsidR="00501F3A" w:rsidRDefault="00501F3A" w:rsidP="00501F3A">
      <w:pPr>
        <w:pStyle w:val="Bibliography"/>
      </w:pPr>
      <w:r>
        <w:t xml:space="preserve">16. </w:t>
      </w:r>
      <w:r>
        <w:tab/>
        <w:t xml:space="preserve">C. E. DePasquale, M. P. Herzberg, M. R. Gunnar, The pubertal stress recalibration hypothesis: Potential neural and behavioral consequences. </w:t>
      </w:r>
      <w:r>
        <w:rPr>
          <w:i/>
          <w:iCs/>
        </w:rPr>
        <w:t>Child Development Perspectives</w:t>
      </w:r>
      <w:r>
        <w:t xml:space="preserve"> </w:t>
      </w:r>
      <w:r>
        <w:rPr>
          <w:b/>
          <w:bCs/>
        </w:rPr>
        <w:t>15</w:t>
      </w:r>
      <w:r>
        <w:t>, 249–256 (2021).</w:t>
      </w:r>
    </w:p>
    <w:p w14:paraId="0B2D1E9D" w14:textId="77777777" w:rsidR="00501F3A" w:rsidRDefault="00501F3A" w:rsidP="00501F3A">
      <w:pPr>
        <w:pStyle w:val="Bibliography"/>
      </w:pPr>
      <w:r>
        <w:t xml:space="preserve">17. </w:t>
      </w:r>
      <w:r>
        <w:tab/>
        <w:t xml:space="preserve">A.-L. Goddings, A. Beltz, J. S. Peper, E. A. Crone, B. R. Braams, Understanding the Role of Puberty in Structural and Functional Development of the Adolescent Brain. </w:t>
      </w:r>
      <w:r>
        <w:rPr>
          <w:i/>
          <w:iCs/>
        </w:rPr>
        <w:t>Journal of Research on Adolescence</w:t>
      </w:r>
      <w:r>
        <w:t xml:space="preserve"> </w:t>
      </w:r>
      <w:r>
        <w:rPr>
          <w:b/>
          <w:bCs/>
        </w:rPr>
        <w:t>29</w:t>
      </w:r>
      <w:r>
        <w:t>, 32–53 (2019).</w:t>
      </w:r>
    </w:p>
    <w:p w14:paraId="5CFC3245" w14:textId="77777777" w:rsidR="00501F3A" w:rsidRDefault="00501F3A" w:rsidP="00501F3A">
      <w:pPr>
        <w:pStyle w:val="Bibliography"/>
      </w:pPr>
      <w:r>
        <w:t xml:space="preserve">18. </w:t>
      </w:r>
      <w:r>
        <w:tab/>
        <w:t xml:space="preserve">M. Chini, I. L. Hanganu-Opatz, Prefrontal Cortex Development in Health and Disease: Lessons from Rodents and Humans. </w:t>
      </w:r>
      <w:r>
        <w:rPr>
          <w:i/>
          <w:iCs/>
        </w:rPr>
        <w:t>Trends in Neurosciences</w:t>
      </w:r>
      <w:r>
        <w:t xml:space="preserve"> </w:t>
      </w:r>
      <w:r>
        <w:rPr>
          <w:b/>
          <w:bCs/>
        </w:rPr>
        <w:t>44</w:t>
      </w:r>
      <w:r>
        <w:t>, 227–240 (2021).</w:t>
      </w:r>
    </w:p>
    <w:p w14:paraId="5221601D" w14:textId="77777777" w:rsidR="00501F3A" w:rsidRDefault="00501F3A" w:rsidP="00501F3A">
      <w:pPr>
        <w:pStyle w:val="Bibliography"/>
      </w:pPr>
      <w:r>
        <w:lastRenderedPageBreak/>
        <w:t xml:space="preserve">19. </w:t>
      </w:r>
      <w:r>
        <w:tab/>
        <w:t xml:space="preserve">A. Caballero, A. Orozco, K. Y. Tseng, Developmental regulation of excitatory-inhibitory synaptic balance in the prefrontal cortex during adolescence. </w:t>
      </w:r>
      <w:r>
        <w:rPr>
          <w:i/>
          <w:iCs/>
        </w:rPr>
        <w:t>Seminars in Cell &amp; Developmental Biology</w:t>
      </w:r>
      <w:r>
        <w:t xml:space="preserve"> </w:t>
      </w:r>
      <w:r>
        <w:rPr>
          <w:b/>
          <w:bCs/>
        </w:rPr>
        <w:t>118</w:t>
      </w:r>
      <w:r>
        <w:t>, 60–63 (2021).</w:t>
      </w:r>
    </w:p>
    <w:p w14:paraId="65710F00" w14:textId="77777777" w:rsidR="00501F3A" w:rsidRDefault="00501F3A" w:rsidP="00501F3A">
      <w:pPr>
        <w:pStyle w:val="Bibliography"/>
      </w:pPr>
      <w:r>
        <w:t xml:space="preserve">20. </w:t>
      </w:r>
      <w:r>
        <w:tab/>
        <w:t xml:space="preserve">P. Asgari, G. McKinney, T. E. Hodges, C. M. McCormick, Social Instability Stress in Adolescence and Social Interaction in Female Rats. </w:t>
      </w:r>
      <w:r>
        <w:rPr>
          <w:i/>
          <w:iCs/>
        </w:rPr>
        <w:t>Neuroscience</w:t>
      </w:r>
      <w:r>
        <w:t xml:space="preserve"> </w:t>
      </w:r>
      <w:r>
        <w:rPr>
          <w:b/>
          <w:bCs/>
        </w:rPr>
        <w:t>477</w:t>
      </w:r>
      <w:r>
        <w:t>, 1–13 (2021).</w:t>
      </w:r>
    </w:p>
    <w:p w14:paraId="3D59645E" w14:textId="77777777" w:rsidR="00501F3A" w:rsidRDefault="00501F3A" w:rsidP="00501F3A">
      <w:pPr>
        <w:pStyle w:val="Bibliography"/>
      </w:pPr>
      <w:r>
        <w:t xml:space="preserve">21. </w:t>
      </w:r>
      <w:r>
        <w:tab/>
        <w:t xml:space="preserve">A. Graf, </w:t>
      </w:r>
      <w:r>
        <w:rPr>
          <w:i/>
          <w:iCs/>
        </w:rPr>
        <w:t>et al.</w:t>
      </w:r>
      <w:r>
        <w:t xml:space="preserve">, Acute and long-term sex-dependent effects of social instability stress on anxiety-like and social behaviours in Wistar rats. </w:t>
      </w:r>
      <w:r>
        <w:rPr>
          <w:i/>
          <w:iCs/>
        </w:rPr>
        <w:t>Behavioural Brain Research</w:t>
      </w:r>
      <w:r>
        <w:t xml:space="preserve"> </w:t>
      </w:r>
      <w:r>
        <w:rPr>
          <w:b/>
          <w:bCs/>
        </w:rPr>
        <w:t>438</w:t>
      </w:r>
      <w:r>
        <w:t>, 114180 (2023).</w:t>
      </w:r>
    </w:p>
    <w:p w14:paraId="296C3D2C" w14:textId="77777777" w:rsidR="00501F3A" w:rsidRDefault="00501F3A" w:rsidP="00501F3A">
      <w:pPr>
        <w:pStyle w:val="Bibliography"/>
      </w:pPr>
      <w:r>
        <w:t xml:space="preserve">22. </w:t>
      </w:r>
      <w:r>
        <w:tab/>
        <w:t xml:space="preserve">C. H. Bourke, G. N. Neigh, Behavioral effects of chronic adolescent stress are sustained and sexually dimorphic. </w:t>
      </w:r>
      <w:r>
        <w:rPr>
          <w:i/>
          <w:iCs/>
        </w:rPr>
        <w:t>Hormones and Behavior</w:t>
      </w:r>
      <w:r>
        <w:t xml:space="preserve"> </w:t>
      </w:r>
      <w:r>
        <w:rPr>
          <w:b/>
          <w:bCs/>
        </w:rPr>
        <w:t>60</w:t>
      </w:r>
      <w:r>
        <w:t>, 112–120 (2011).</w:t>
      </w:r>
    </w:p>
    <w:p w14:paraId="38737E5A" w14:textId="77777777" w:rsidR="00501F3A" w:rsidRDefault="00501F3A" w:rsidP="00501F3A">
      <w:pPr>
        <w:pStyle w:val="Bibliography"/>
      </w:pPr>
      <w:r>
        <w:t xml:space="preserve">23. </w:t>
      </w:r>
      <w:r>
        <w:tab/>
        <w:t xml:space="preserve">E. I. Ahmed, </w:t>
      </w:r>
      <w:r>
        <w:rPr>
          <w:i/>
          <w:iCs/>
        </w:rPr>
        <w:t>et al.</w:t>
      </w:r>
      <w:r>
        <w:t xml:space="preserve">, Pubertal hormones modulate the addition of new cells to sexually dimorphic brain regions. </w:t>
      </w:r>
      <w:r>
        <w:rPr>
          <w:i/>
          <w:iCs/>
        </w:rPr>
        <w:t>Nature Neuroscience</w:t>
      </w:r>
      <w:r>
        <w:t xml:space="preserve"> </w:t>
      </w:r>
      <w:r>
        <w:rPr>
          <w:b/>
          <w:bCs/>
        </w:rPr>
        <w:t>11</w:t>
      </w:r>
      <w:r>
        <w:t>, 995–997 (2008).</w:t>
      </w:r>
    </w:p>
    <w:p w14:paraId="41C31378" w14:textId="77777777" w:rsidR="00501F3A" w:rsidRDefault="00501F3A" w:rsidP="00501F3A">
      <w:pPr>
        <w:pStyle w:val="Bibliography"/>
      </w:pPr>
      <w:r>
        <w:t xml:space="preserve">24. </w:t>
      </w:r>
      <w:r>
        <w:tab/>
        <w:t xml:space="preserve">K. Delevich, D. Piekarski, L. Wilbrecht, Neuroscience: Sex Hormones at Work in the Neocortex. </w:t>
      </w:r>
      <w:r>
        <w:rPr>
          <w:i/>
          <w:iCs/>
        </w:rPr>
        <w:t>Curr. Biol.</w:t>
      </w:r>
      <w:r>
        <w:t xml:space="preserve"> </w:t>
      </w:r>
      <w:r>
        <w:rPr>
          <w:b/>
          <w:bCs/>
        </w:rPr>
        <w:t>29</w:t>
      </w:r>
      <w:r>
        <w:t>, R122–R125 (2019).</w:t>
      </w:r>
    </w:p>
    <w:p w14:paraId="73CEB516" w14:textId="77777777" w:rsidR="00501F3A" w:rsidRDefault="00501F3A" w:rsidP="00501F3A">
      <w:pPr>
        <w:pStyle w:val="Bibliography"/>
      </w:pPr>
      <w:r>
        <w:t xml:space="preserve">25. </w:t>
      </w:r>
      <w:r>
        <w:tab/>
        <w:t xml:space="preserve">C. M. Drzewiecki, J. Willing, J. M. Juraska, Synaptic number changes in the medial prefrontal cortex across adolescence in male and female rats: A role for pubertal onset. </w:t>
      </w:r>
      <w:r>
        <w:rPr>
          <w:i/>
          <w:iCs/>
        </w:rPr>
        <w:t>Synapse</w:t>
      </w:r>
      <w:r>
        <w:t xml:space="preserve"> </w:t>
      </w:r>
      <w:r>
        <w:rPr>
          <w:b/>
          <w:bCs/>
        </w:rPr>
        <w:t>70</w:t>
      </w:r>
      <w:r>
        <w:t>, 361–368 (2016).</w:t>
      </w:r>
    </w:p>
    <w:p w14:paraId="5C060CAB" w14:textId="77777777" w:rsidR="00501F3A" w:rsidRDefault="00501F3A" w:rsidP="00501F3A">
      <w:pPr>
        <w:pStyle w:val="Bibliography"/>
      </w:pPr>
      <w:r>
        <w:t xml:space="preserve">26. </w:t>
      </w:r>
      <w:r>
        <w:tab/>
        <w:t xml:space="preserve">K. M. Schulz, C. L. Sisk, The organizing actions of adolescent gonadal steroid hormones on brain and behavioral development. </w:t>
      </w:r>
      <w:r>
        <w:rPr>
          <w:i/>
          <w:iCs/>
        </w:rPr>
        <w:t>Neurosci Biobehav Rev</w:t>
      </w:r>
      <w:r>
        <w:t xml:space="preserve"> </w:t>
      </w:r>
      <w:r>
        <w:rPr>
          <w:b/>
          <w:bCs/>
        </w:rPr>
        <w:t>70</w:t>
      </w:r>
      <w:r>
        <w:t>, 148–158 (2016).</w:t>
      </w:r>
    </w:p>
    <w:p w14:paraId="6F20E9BD" w14:textId="77777777" w:rsidR="00501F3A" w:rsidRDefault="00501F3A" w:rsidP="00501F3A">
      <w:pPr>
        <w:pStyle w:val="Bibliography"/>
      </w:pPr>
      <w:r>
        <w:t xml:space="preserve">27. </w:t>
      </w:r>
      <w:r>
        <w:tab/>
        <w:t xml:space="preserve">K. Delevich, A. W. Thomas, L. Wilbrecht, Adolescence and “Late Blooming” Synapses of the Prefrontal Cortex. </w:t>
      </w:r>
      <w:r>
        <w:rPr>
          <w:i/>
          <w:iCs/>
        </w:rPr>
        <w:t>Cold Spring Harb. Symp. Quant. Biol.</w:t>
      </w:r>
      <w:r>
        <w:t xml:space="preserve"> (2019) https:/doi.org/10.1101/sqb.2018.83.037507.</w:t>
      </w:r>
    </w:p>
    <w:p w14:paraId="5CB3EDE5" w14:textId="77777777" w:rsidR="00501F3A" w:rsidRDefault="00501F3A" w:rsidP="00501F3A">
      <w:pPr>
        <w:pStyle w:val="Bibliography"/>
      </w:pPr>
      <w:r>
        <w:t xml:space="preserve">28. </w:t>
      </w:r>
      <w:r>
        <w:tab/>
        <w:t xml:space="preserve">B. Gegenhuber, M. V. Wu, R. Bronstein, J. Tollkuhn, Gene regulation by gonadal hormone receptors underlies brain sex differences. </w:t>
      </w:r>
      <w:r>
        <w:rPr>
          <w:i/>
          <w:iCs/>
        </w:rPr>
        <w:t>Nature</w:t>
      </w:r>
      <w:r>
        <w:t xml:space="preserve"> </w:t>
      </w:r>
      <w:r>
        <w:rPr>
          <w:b/>
          <w:bCs/>
        </w:rPr>
        <w:t>606</w:t>
      </w:r>
      <w:r>
        <w:t>, 153–159 (2022).</w:t>
      </w:r>
    </w:p>
    <w:p w14:paraId="7DBA5C4E" w14:textId="77777777" w:rsidR="00501F3A" w:rsidRDefault="00501F3A" w:rsidP="00501F3A">
      <w:pPr>
        <w:pStyle w:val="Bibliography"/>
      </w:pPr>
      <w:r>
        <w:t xml:space="preserve">29. </w:t>
      </w:r>
      <w:r>
        <w:tab/>
        <w:t xml:space="preserve">A. E. Guyer, </w:t>
      </w:r>
      <w:r>
        <w:rPr>
          <w:i/>
          <w:iCs/>
        </w:rPr>
        <w:t>et al.</w:t>
      </w:r>
      <w:r>
        <w:t xml:space="preserve">, Striatal functional alteration during incentive anticipation in pediatric anxiety disorders. </w:t>
      </w:r>
      <w:r>
        <w:rPr>
          <w:i/>
          <w:iCs/>
        </w:rPr>
        <w:t>Am. J. Psychiatry</w:t>
      </w:r>
      <w:r>
        <w:t xml:space="preserve"> </w:t>
      </w:r>
      <w:r>
        <w:rPr>
          <w:b/>
          <w:bCs/>
        </w:rPr>
        <w:t>169</w:t>
      </w:r>
      <w:r>
        <w:t>, 205–212 (2012).</w:t>
      </w:r>
    </w:p>
    <w:p w14:paraId="71740EAD" w14:textId="77777777" w:rsidR="00501F3A" w:rsidRDefault="00501F3A" w:rsidP="00501F3A">
      <w:pPr>
        <w:pStyle w:val="Bibliography"/>
      </w:pPr>
      <w:r>
        <w:t xml:space="preserve">30. </w:t>
      </w:r>
      <w:r>
        <w:tab/>
        <w:t xml:space="preserve">J. A. Clauss, J. U. Blackford, Behavioral Inhibition and Risk for Developing Social Anxiety Disorder: A Meta-Analytic Study. </w:t>
      </w:r>
      <w:r>
        <w:rPr>
          <w:i/>
          <w:iCs/>
        </w:rPr>
        <w:t>Journal of the American Academy of Child &amp; Adolescent Psychiatry</w:t>
      </w:r>
      <w:r>
        <w:t xml:space="preserve"> </w:t>
      </w:r>
      <w:r>
        <w:rPr>
          <w:b/>
          <w:bCs/>
        </w:rPr>
        <w:t>51</w:t>
      </w:r>
      <w:r>
        <w:t>, 1066-1075.e1 (2012).</w:t>
      </w:r>
    </w:p>
    <w:p w14:paraId="0C63E3E2" w14:textId="77777777" w:rsidR="00501F3A" w:rsidRDefault="00501F3A" w:rsidP="00501F3A">
      <w:pPr>
        <w:pStyle w:val="Bibliography"/>
      </w:pPr>
      <w:r>
        <w:t xml:space="preserve">31. </w:t>
      </w:r>
      <w:r>
        <w:tab/>
        <w:t xml:space="preserve">L. D. Dorn, C. E. Hostinar, E. J. Susman, P. Pervanidou, Conceptualizing Puberty as a Window of Opportunity for Impacting Health and Well‐Being Across the Life Span. </w:t>
      </w:r>
      <w:r>
        <w:rPr>
          <w:i/>
          <w:iCs/>
        </w:rPr>
        <w:t>J Res Adolesc</w:t>
      </w:r>
      <w:r>
        <w:t xml:space="preserve"> </w:t>
      </w:r>
      <w:r>
        <w:rPr>
          <w:b/>
          <w:bCs/>
        </w:rPr>
        <w:t>29</w:t>
      </w:r>
      <w:r>
        <w:t>, 155–176 (2019).</w:t>
      </w:r>
    </w:p>
    <w:p w14:paraId="6F2A1144" w14:textId="77777777" w:rsidR="00501F3A" w:rsidRDefault="00501F3A" w:rsidP="00501F3A">
      <w:pPr>
        <w:pStyle w:val="Bibliography"/>
      </w:pPr>
      <w:r>
        <w:t xml:space="preserve">32. </w:t>
      </w:r>
      <w:r>
        <w:tab/>
        <w:t xml:space="preserve">L. H. Somerville, </w:t>
      </w:r>
      <w:r>
        <w:rPr>
          <w:i/>
          <w:iCs/>
        </w:rPr>
        <w:t>et al.</w:t>
      </w:r>
      <w:r>
        <w:t xml:space="preserve">, Interactions Between Transient and Sustained Neural Signals Support the Generation and Regulation of Anxious Emotion. </w:t>
      </w:r>
      <w:r>
        <w:rPr>
          <w:i/>
          <w:iCs/>
        </w:rPr>
        <w:t>Cerebral Cortex</w:t>
      </w:r>
      <w:r>
        <w:t xml:space="preserve"> </w:t>
      </w:r>
      <w:r>
        <w:rPr>
          <w:b/>
          <w:bCs/>
        </w:rPr>
        <w:t>23</w:t>
      </w:r>
      <w:r>
        <w:t>, 49–60 (2013).</w:t>
      </w:r>
    </w:p>
    <w:p w14:paraId="3BE55870" w14:textId="77777777" w:rsidR="00501F3A" w:rsidRDefault="00501F3A" w:rsidP="00501F3A">
      <w:pPr>
        <w:pStyle w:val="Bibliography"/>
      </w:pPr>
      <w:r>
        <w:lastRenderedPageBreak/>
        <w:t xml:space="preserve">33. </w:t>
      </w:r>
      <w:r>
        <w:tab/>
        <w:t xml:space="preserve">B. Figel, </w:t>
      </w:r>
      <w:r>
        <w:rPr>
          <w:i/>
          <w:iCs/>
        </w:rPr>
        <w:t>et al.</w:t>
      </w:r>
      <w:r>
        <w:t xml:space="preserve">, Phasic amygdala and BNST activation during the anticipation of temporally unpredictable social observation in social anxiety disorder patients. </w:t>
      </w:r>
      <w:r>
        <w:rPr>
          <w:i/>
          <w:iCs/>
        </w:rPr>
        <w:t>Neuroimage Clin</w:t>
      </w:r>
      <w:r>
        <w:t xml:space="preserve"> </w:t>
      </w:r>
      <w:r>
        <w:rPr>
          <w:b/>
          <w:bCs/>
        </w:rPr>
        <w:t>22</w:t>
      </w:r>
      <w:r>
        <w:t>, 101735 (2019).</w:t>
      </w:r>
    </w:p>
    <w:p w14:paraId="687E888B" w14:textId="77777777" w:rsidR="00501F3A" w:rsidRDefault="00501F3A" w:rsidP="00501F3A">
      <w:pPr>
        <w:pStyle w:val="Bibliography"/>
      </w:pPr>
      <w:r>
        <w:t xml:space="preserve">34. </w:t>
      </w:r>
      <w:r>
        <w:tab/>
        <w:t xml:space="preserve">G. H. Glover, Overview of Functional Magnetic Resonance Imaging. </w:t>
      </w:r>
      <w:r>
        <w:rPr>
          <w:i/>
          <w:iCs/>
        </w:rPr>
        <w:t>Neurosurgery Clinics of North America</w:t>
      </w:r>
      <w:r>
        <w:t xml:space="preserve"> </w:t>
      </w:r>
      <w:r>
        <w:rPr>
          <w:b/>
          <w:bCs/>
        </w:rPr>
        <w:t>22</w:t>
      </w:r>
      <w:r>
        <w:t>, 133–139 (2011).</w:t>
      </w:r>
    </w:p>
    <w:p w14:paraId="59491DC0" w14:textId="77777777" w:rsidR="00501F3A" w:rsidRDefault="00501F3A" w:rsidP="00501F3A">
      <w:pPr>
        <w:pStyle w:val="Bibliography"/>
      </w:pPr>
      <w:r>
        <w:t xml:space="preserve">35. </w:t>
      </w:r>
      <w:r>
        <w:tab/>
        <w:t xml:space="preserve">C. Dong, </w:t>
      </w:r>
      <w:r>
        <w:rPr>
          <w:i/>
          <w:iCs/>
        </w:rPr>
        <w:t>et al.</w:t>
      </w:r>
      <w:r>
        <w:t xml:space="preserve">, Fluorescence Imaging of Neural Activity, Neurochemical Dynamics, and Drug-Specific Receptor Conformation with Genetically Encoded Sensors. </w:t>
      </w:r>
      <w:r>
        <w:rPr>
          <w:i/>
          <w:iCs/>
        </w:rPr>
        <w:t>Annu. Rev. Neurosci.</w:t>
      </w:r>
      <w:r>
        <w:t xml:space="preserve"> </w:t>
      </w:r>
      <w:r>
        <w:rPr>
          <w:b/>
          <w:bCs/>
        </w:rPr>
        <w:t>45</w:t>
      </w:r>
      <w:r>
        <w:t>, 273–294 (2022).</w:t>
      </w:r>
    </w:p>
    <w:p w14:paraId="6507461C" w14:textId="77777777" w:rsidR="00501F3A" w:rsidRDefault="00501F3A" w:rsidP="00501F3A">
      <w:pPr>
        <w:pStyle w:val="Bibliography"/>
      </w:pPr>
      <w:r>
        <w:t xml:space="preserve">36. </w:t>
      </w:r>
      <w:r>
        <w:tab/>
        <w:t xml:space="preserve">C. A. Siciliano, K. M. Tye, Leveraging calcium imaging to illuminate circuit dysfunction in addiction. </w:t>
      </w:r>
      <w:r>
        <w:rPr>
          <w:i/>
          <w:iCs/>
        </w:rPr>
        <w:t>Alcohol</w:t>
      </w:r>
      <w:r>
        <w:t xml:space="preserve"> </w:t>
      </w:r>
      <w:r>
        <w:rPr>
          <w:b/>
          <w:bCs/>
        </w:rPr>
        <w:t>74</w:t>
      </w:r>
      <w:r>
        <w:t>, 47–63 (2019).</w:t>
      </w:r>
    </w:p>
    <w:p w14:paraId="63198792" w14:textId="77777777" w:rsidR="00501F3A" w:rsidRDefault="00501F3A" w:rsidP="00501F3A">
      <w:pPr>
        <w:pStyle w:val="Bibliography"/>
      </w:pPr>
      <w:r>
        <w:t xml:space="preserve">37. </w:t>
      </w:r>
      <w:r>
        <w:tab/>
        <w:t xml:space="preserve">M. Q. Steinman, </w:t>
      </w:r>
      <w:r>
        <w:rPr>
          <w:i/>
          <w:iCs/>
        </w:rPr>
        <w:t>et al.</w:t>
      </w:r>
      <w:r>
        <w:t xml:space="preserve">, Sex-Specific Effects of Stress on Oxytocin Neurons Correspond With Responses to Intranasal Oxytocin. </w:t>
      </w:r>
      <w:r>
        <w:rPr>
          <w:i/>
          <w:iCs/>
        </w:rPr>
        <w:t>Biological Psychiatry</w:t>
      </w:r>
      <w:r>
        <w:t xml:space="preserve"> </w:t>
      </w:r>
      <w:r>
        <w:rPr>
          <w:b/>
          <w:bCs/>
        </w:rPr>
        <w:t>80</w:t>
      </w:r>
      <w:r>
        <w:t>, 406–414 (2016).</w:t>
      </w:r>
    </w:p>
    <w:p w14:paraId="6572DF5A" w14:textId="77777777" w:rsidR="00501F3A" w:rsidRDefault="00501F3A" w:rsidP="00501F3A">
      <w:pPr>
        <w:pStyle w:val="Bibliography"/>
      </w:pPr>
      <w:r>
        <w:t xml:space="preserve">38. </w:t>
      </w:r>
      <w:r>
        <w:tab/>
        <w:t xml:space="preserve">G. D. Greenberg, </w:t>
      </w:r>
      <w:r>
        <w:rPr>
          <w:i/>
          <w:iCs/>
        </w:rPr>
        <w:t>et al.</w:t>
      </w:r>
      <w:r>
        <w:t xml:space="preserve">, Sex differences in stress-induced social withdrawal: role of brain derived neurotrophic factor in the bed nucleus of the stria terminalis. </w:t>
      </w:r>
      <w:r>
        <w:rPr>
          <w:i/>
          <w:iCs/>
        </w:rPr>
        <w:t>Frontiers in behavioral neuroscience</w:t>
      </w:r>
      <w:r>
        <w:t xml:space="preserve"> </w:t>
      </w:r>
      <w:r>
        <w:rPr>
          <w:b/>
          <w:bCs/>
        </w:rPr>
        <w:t>7</w:t>
      </w:r>
      <w:r>
        <w:t>, 223 (2014).</w:t>
      </w:r>
    </w:p>
    <w:p w14:paraId="02EF6E72" w14:textId="77777777" w:rsidR="00501F3A" w:rsidRDefault="00501F3A" w:rsidP="00501F3A">
      <w:pPr>
        <w:pStyle w:val="Bibliography"/>
      </w:pPr>
      <w:r>
        <w:t xml:space="preserve">39. </w:t>
      </w:r>
      <w:r>
        <w:tab/>
        <w:t xml:space="preserve">N. Duque-Wilckens, </w:t>
      </w:r>
      <w:r>
        <w:rPr>
          <w:i/>
          <w:iCs/>
        </w:rPr>
        <w:t>et al.</w:t>
      </w:r>
      <w:r>
        <w:t xml:space="preserve">, Extra-hypothalamic oxytocin neurons drive stress-induced social vigilance and avoidance. </w:t>
      </w:r>
      <w:r>
        <w:rPr>
          <w:i/>
          <w:iCs/>
        </w:rPr>
        <w:t>Proc Natl. Acad. Sci. U.S.A.</w:t>
      </w:r>
      <w:r>
        <w:t xml:space="preserve"> </w:t>
      </w:r>
      <w:r>
        <w:rPr>
          <w:b/>
          <w:bCs/>
        </w:rPr>
        <w:t>117</w:t>
      </w:r>
      <w:r>
        <w:t>, 26406–26413 (2020).</w:t>
      </w:r>
    </w:p>
    <w:p w14:paraId="366CAA5C" w14:textId="77777777" w:rsidR="00501F3A" w:rsidRDefault="00501F3A" w:rsidP="00501F3A">
      <w:pPr>
        <w:pStyle w:val="Bibliography"/>
      </w:pPr>
      <w:r>
        <w:t xml:space="preserve">40. </w:t>
      </w:r>
      <w:r>
        <w:tab/>
        <w:t xml:space="preserve">N. Duque-Wilckens, </w:t>
      </w:r>
      <w:r>
        <w:rPr>
          <w:i/>
          <w:iCs/>
        </w:rPr>
        <w:t>et al.</w:t>
      </w:r>
      <w:r>
        <w:t xml:space="preserve">, Oxytocin Receptors in the Anteromedial Bed Nucleus of the Stria Terminalis Promote Stress-Induced Social Avoidance in Female California Mice. </w:t>
      </w:r>
      <w:r>
        <w:rPr>
          <w:i/>
          <w:iCs/>
        </w:rPr>
        <w:t>Biological psychiatry</w:t>
      </w:r>
      <w:r>
        <w:t xml:space="preserve"> </w:t>
      </w:r>
      <w:r>
        <w:rPr>
          <w:b/>
          <w:bCs/>
        </w:rPr>
        <w:t>83</w:t>
      </w:r>
      <w:r>
        <w:t>, 203–213 (2018).</w:t>
      </w:r>
    </w:p>
    <w:p w14:paraId="01D065F1" w14:textId="77777777" w:rsidR="00501F3A" w:rsidRDefault="00501F3A" w:rsidP="00501F3A">
      <w:pPr>
        <w:pStyle w:val="Bibliography"/>
      </w:pPr>
      <w:r>
        <w:t xml:space="preserve">41. </w:t>
      </w:r>
      <w:r>
        <w:tab/>
        <w:t xml:space="preserve">P. X. Luo, </w:t>
      </w:r>
      <w:r>
        <w:rPr>
          <w:i/>
          <w:iCs/>
        </w:rPr>
        <w:t>et al.</w:t>
      </w:r>
      <w:r>
        <w:t xml:space="preserve">, Oxytocin receptor behavioral effects and cell types in the bed nucleus of the stria terminalis. </w:t>
      </w:r>
      <w:r>
        <w:rPr>
          <w:i/>
          <w:iCs/>
        </w:rPr>
        <w:t>Hormones and Behavior</w:t>
      </w:r>
      <w:r>
        <w:t xml:space="preserve"> </w:t>
      </w:r>
      <w:r>
        <w:rPr>
          <w:b/>
          <w:bCs/>
        </w:rPr>
        <w:t>143</w:t>
      </w:r>
      <w:r>
        <w:t>, 105203 (2022).</w:t>
      </w:r>
    </w:p>
    <w:p w14:paraId="32E382DA" w14:textId="77777777" w:rsidR="00501F3A" w:rsidRDefault="00501F3A" w:rsidP="00501F3A">
      <w:pPr>
        <w:pStyle w:val="Bibliography"/>
      </w:pPr>
      <w:r>
        <w:t xml:space="preserve">42. </w:t>
      </w:r>
      <w:r>
        <w:tab/>
        <w:t xml:space="preserve">B. C. Trainor, </w:t>
      </w:r>
      <w:r>
        <w:rPr>
          <w:i/>
          <w:iCs/>
        </w:rPr>
        <w:t>et al.</w:t>
      </w:r>
      <w:r>
        <w:t xml:space="preserve">, Sex differences in social interaction behavior following social defeat stress in the monogamous California mouse (peromyscus californicus). </w:t>
      </w:r>
      <w:r>
        <w:rPr>
          <w:i/>
          <w:iCs/>
        </w:rPr>
        <w:t>PLoS ONE</w:t>
      </w:r>
      <w:r>
        <w:t xml:space="preserve"> </w:t>
      </w:r>
      <w:r>
        <w:rPr>
          <w:b/>
          <w:bCs/>
        </w:rPr>
        <w:t>6</w:t>
      </w:r>
      <w:r>
        <w:t xml:space="preserve"> (2011).</w:t>
      </w:r>
    </w:p>
    <w:p w14:paraId="5D1FB6CB" w14:textId="77777777" w:rsidR="00501F3A" w:rsidRDefault="00501F3A" w:rsidP="00501F3A">
      <w:pPr>
        <w:pStyle w:val="Bibliography"/>
      </w:pPr>
      <w:r>
        <w:t xml:space="preserve">43. </w:t>
      </w:r>
      <w:r>
        <w:tab/>
        <w:t xml:space="preserve">B. C. Trainor, </w:t>
      </w:r>
      <w:r>
        <w:rPr>
          <w:i/>
          <w:iCs/>
        </w:rPr>
        <w:t>et al.</w:t>
      </w:r>
      <w:r>
        <w:t xml:space="preserve">, Sex differences in stress-induced social withdrawal: independence from adult gonadal hormones and inhibition of female phenotype by corncob bedding. </w:t>
      </w:r>
      <w:r>
        <w:rPr>
          <w:i/>
          <w:iCs/>
        </w:rPr>
        <w:t>Hormones and Behavior</w:t>
      </w:r>
      <w:r>
        <w:t xml:space="preserve"> </w:t>
      </w:r>
      <w:r>
        <w:rPr>
          <w:b/>
          <w:bCs/>
        </w:rPr>
        <w:t>63</w:t>
      </w:r>
      <w:r>
        <w:t>, 543–550 (2013).</w:t>
      </w:r>
    </w:p>
    <w:p w14:paraId="24B4732C" w14:textId="77777777" w:rsidR="00501F3A" w:rsidRDefault="00501F3A" w:rsidP="00501F3A">
      <w:pPr>
        <w:pStyle w:val="Bibliography"/>
      </w:pPr>
      <w:r>
        <w:t xml:space="preserve">44. </w:t>
      </w:r>
      <w:r>
        <w:tab/>
        <w:t>J. X. Kuske, B. C. Trainor, “Mean Girls: Social Stress Models for Female Rodents” in Current Topics in Behavioral Neurosciences., (Springer, 2021), pp. 1–30.</w:t>
      </w:r>
    </w:p>
    <w:p w14:paraId="39B32844" w14:textId="77777777" w:rsidR="00501F3A" w:rsidRDefault="00501F3A" w:rsidP="00501F3A">
      <w:pPr>
        <w:pStyle w:val="Bibliography"/>
      </w:pPr>
      <w:r>
        <w:t xml:space="preserve">45. </w:t>
      </w:r>
      <w:r>
        <w:tab/>
        <w:t xml:space="preserve">X. Wu, R. Arumugam, N. Zhang, M. M. Lee, Androgen profiles during pubertal Leydig cell development in mice. </w:t>
      </w:r>
      <w:r>
        <w:rPr>
          <w:i/>
          <w:iCs/>
        </w:rPr>
        <w:t>Reproduction</w:t>
      </w:r>
      <w:r>
        <w:t xml:space="preserve"> </w:t>
      </w:r>
      <w:r>
        <w:rPr>
          <w:b/>
          <w:bCs/>
        </w:rPr>
        <w:t>140</w:t>
      </w:r>
      <w:r>
        <w:t>, 113–121 (2010).</w:t>
      </w:r>
    </w:p>
    <w:p w14:paraId="291C84E8" w14:textId="77777777" w:rsidR="00501F3A" w:rsidRDefault="00501F3A" w:rsidP="00501F3A">
      <w:pPr>
        <w:pStyle w:val="Bibliography"/>
      </w:pPr>
      <w:r>
        <w:t xml:space="preserve">46. </w:t>
      </w:r>
      <w:r>
        <w:tab/>
        <w:t xml:space="preserve">M. D. Deboer, Y. Li, Puberty Is Delayed in Male Mice With Dextran Sodium Sulfate Colitis Out of Proportion to Changes in Food Intake, Body Weight, and Serum Levels of Leptin. </w:t>
      </w:r>
      <w:r>
        <w:rPr>
          <w:i/>
          <w:iCs/>
        </w:rPr>
        <w:t>Pediatr Res</w:t>
      </w:r>
      <w:r>
        <w:t xml:space="preserve"> </w:t>
      </w:r>
      <w:r>
        <w:rPr>
          <w:b/>
          <w:bCs/>
        </w:rPr>
        <w:t>69</w:t>
      </w:r>
      <w:r>
        <w:t>, 34–39 (2011).</w:t>
      </w:r>
    </w:p>
    <w:p w14:paraId="462387B5" w14:textId="77777777" w:rsidR="00501F3A" w:rsidRDefault="00501F3A" w:rsidP="00501F3A">
      <w:pPr>
        <w:pStyle w:val="Bibliography"/>
      </w:pPr>
      <w:r>
        <w:lastRenderedPageBreak/>
        <w:t xml:space="preserve">47. </w:t>
      </w:r>
      <w:r>
        <w:tab/>
        <w:t xml:space="preserve">J. Mendle, A. M. Beltz, R. Carter, L. D. Dorn, Understanding Puberty and Its Measurement: Ideas for Research in a New Generation. </w:t>
      </w:r>
      <w:r>
        <w:rPr>
          <w:i/>
          <w:iCs/>
        </w:rPr>
        <w:t>J Res Adolesc</w:t>
      </w:r>
      <w:r>
        <w:t xml:space="preserve"> </w:t>
      </w:r>
      <w:r>
        <w:rPr>
          <w:b/>
          <w:bCs/>
        </w:rPr>
        <w:t>29</w:t>
      </w:r>
      <w:r>
        <w:t>, 82–95 (2019).</w:t>
      </w:r>
    </w:p>
    <w:p w14:paraId="5C19F2E9" w14:textId="77777777" w:rsidR="00501F3A" w:rsidRDefault="00501F3A" w:rsidP="00501F3A">
      <w:pPr>
        <w:pStyle w:val="Bibliography"/>
      </w:pPr>
      <w:r>
        <w:t xml:space="preserve">48. </w:t>
      </w:r>
      <w:r>
        <w:tab/>
        <w:t xml:space="preserve">E. A. Shirtcliff, R. E. Dahl, S. D. Pollak, Pubertal Development: Correspondence Between Hormonal and Physical Development: Hormonal Correlates of Pubertal Stage. </w:t>
      </w:r>
      <w:r>
        <w:rPr>
          <w:i/>
          <w:iCs/>
        </w:rPr>
        <w:t>Child Development</w:t>
      </w:r>
      <w:r>
        <w:t xml:space="preserve"> </w:t>
      </w:r>
      <w:r>
        <w:rPr>
          <w:b/>
          <w:bCs/>
        </w:rPr>
        <w:t>80</w:t>
      </w:r>
      <w:r>
        <w:t>, 327–337 (2009).</w:t>
      </w:r>
    </w:p>
    <w:p w14:paraId="6A88AB69" w14:textId="77777777" w:rsidR="00501F3A" w:rsidRDefault="00501F3A" w:rsidP="00501F3A">
      <w:pPr>
        <w:pStyle w:val="Bibliography"/>
      </w:pPr>
      <w:r>
        <w:t xml:space="preserve">49. </w:t>
      </w:r>
      <w:r>
        <w:tab/>
        <w:t xml:space="preserve">B. C. Trainor, </w:t>
      </w:r>
      <w:r>
        <w:rPr>
          <w:i/>
          <w:iCs/>
        </w:rPr>
        <w:t>et al.</w:t>
      </w:r>
      <w:r>
        <w:t xml:space="preserve">, Sex Differences in Social Interaction Behavior Following Social Defeat Stress in the Monogamous California Mouse (&lt;italic&gt;Peromyscus californicus&lt;/italic&gt;). </w:t>
      </w:r>
      <w:r>
        <w:rPr>
          <w:i/>
          <w:iCs/>
        </w:rPr>
        <w:t>PLoS ONE</w:t>
      </w:r>
      <w:r>
        <w:t xml:space="preserve"> </w:t>
      </w:r>
      <w:r>
        <w:rPr>
          <w:b/>
          <w:bCs/>
        </w:rPr>
        <w:t>6</w:t>
      </w:r>
      <w:r>
        <w:t>, e17405 (2011).</w:t>
      </w:r>
    </w:p>
    <w:p w14:paraId="1824C206" w14:textId="77777777" w:rsidR="00501F3A" w:rsidRDefault="00501F3A" w:rsidP="00501F3A">
      <w:pPr>
        <w:pStyle w:val="Bibliography"/>
      </w:pPr>
      <w:r>
        <w:t xml:space="preserve">50. </w:t>
      </w:r>
      <w:r>
        <w:tab/>
        <w:t xml:space="preserve">G. D. Greenberg, M. Q. Steinman, I. E. Doig, R. Hao, B. C. Trainor, Effects of social defeat on dopamine neurons in the ventral tegmental area in male and female California mice. </w:t>
      </w:r>
      <w:r>
        <w:rPr>
          <w:i/>
          <w:iCs/>
        </w:rPr>
        <w:t>The European journal of neuroscience</w:t>
      </w:r>
      <w:r>
        <w:t xml:space="preserve"> </w:t>
      </w:r>
      <w:r>
        <w:rPr>
          <w:b/>
          <w:bCs/>
        </w:rPr>
        <w:t>42</w:t>
      </w:r>
      <w:r>
        <w:t>, 3081–94 (2015).</w:t>
      </w:r>
    </w:p>
    <w:p w14:paraId="553422B7" w14:textId="77777777" w:rsidR="00501F3A" w:rsidRDefault="00501F3A" w:rsidP="00501F3A">
      <w:pPr>
        <w:pStyle w:val="Bibliography"/>
      </w:pPr>
      <w:r>
        <w:t xml:space="preserve">51. </w:t>
      </w:r>
      <w:r>
        <w:tab/>
        <w:t xml:space="preserve">N. Duque-Wilckens, </w:t>
      </w:r>
      <w:r>
        <w:rPr>
          <w:i/>
          <w:iCs/>
        </w:rPr>
        <w:t>et al.</w:t>
      </w:r>
      <w:r>
        <w:t xml:space="preserve">, Oxytocin Receptors in the Anteromedial Bed Nucleus of the Stria Terminalis Promote Stress-Induced Social Avoidance in Female California Mice. </w:t>
      </w:r>
      <w:r>
        <w:rPr>
          <w:i/>
          <w:iCs/>
        </w:rPr>
        <w:t>Biol. Psychiatry</w:t>
      </w:r>
      <w:r>
        <w:t xml:space="preserve"> </w:t>
      </w:r>
      <w:r>
        <w:rPr>
          <w:b/>
          <w:bCs/>
        </w:rPr>
        <w:t>83</w:t>
      </w:r>
      <w:r>
        <w:t>, 203–213 (2018).</w:t>
      </w:r>
    </w:p>
    <w:p w14:paraId="4C24ABB5" w14:textId="77777777" w:rsidR="00501F3A" w:rsidRDefault="00501F3A" w:rsidP="00501F3A">
      <w:pPr>
        <w:pStyle w:val="Bibliography"/>
      </w:pPr>
      <w:r>
        <w:t xml:space="preserve">52. </w:t>
      </w:r>
      <w:r>
        <w:tab/>
        <w:t xml:space="preserve">C. Numa, </w:t>
      </w:r>
      <w:r>
        <w:rPr>
          <w:i/>
          <w:iCs/>
        </w:rPr>
        <w:t>et al.</w:t>
      </w:r>
      <w:r>
        <w:t xml:space="preserve">, Social defeat stress-specific increase in c-Fos expression in the extended amygdala in mice: Involvement of dopamine D1 receptor in the medial prefrontal cortex. </w:t>
      </w:r>
      <w:r>
        <w:rPr>
          <w:i/>
          <w:iCs/>
        </w:rPr>
        <w:t>Sci Rep</w:t>
      </w:r>
      <w:r>
        <w:t xml:space="preserve"> </w:t>
      </w:r>
      <w:r>
        <w:rPr>
          <w:b/>
          <w:bCs/>
        </w:rPr>
        <w:t>9</w:t>
      </w:r>
      <w:r>
        <w:t>, 16670 (2019).</w:t>
      </w:r>
    </w:p>
    <w:p w14:paraId="35DC27CE" w14:textId="77777777" w:rsidR="00501F3A" w:rsidRDefault="00501F3A" w:rsidP="00501F3A">
      <w:pPr>
        <w:pStyle w:val="Bibliography"/>
      </w:pPr>
      <w:r>
        <w:t xml:space="preserve">53. </w:t>
      </w:r>
      <w:r>
        <w:tab/>
        <w:t xml:space="preserve">Kollack‐Walker, Don, Watson, Akil, Differential Expression of c‐ </w:t>
      </w:r>
      <w:r>
        <w:rPr>
          <w:i/>
          <w:iCs/>
        </w:rPr>
        <w:t>fos</w:t>
      </w:r>
      <w:r>
        <w:t xml:space="preserve"> mRNA Within Neurocircuits of Male Hamsters Exposed to Acute or Chronic Defeat. </w:t>
      </w:r>
      <w:r>
        <w:rPr>
          <w:i/>
          <w:iCs/>
        </w:rPr>
        <w:t>Journal of Neuroendocrinology</w:t>
      </w:r>
      <w:r>
        <w:t xml:space="preserve"> </w:t>
      </w:r>
      <w:r>
        <w:rPr>
          <w:b/>
          <w:bCs/>
        </w:rPr>
        <w:t>11</w:t>
      </w:r>
      <w:r>
        <w:t>, 547–559 (1999).</w:t>
      </w:r>
    </w:p>
    <w:p w14:paraId="59EFD6A3" w14:textId="77777777" w:rsidR="00501F3A" w:rsidRDefault="00501F3A" w:rsidP="00501F3A">
      <w:pPr>
        <w:pStyle w:val="Bibliography"/>
      </w:pPr>
      <w:r>
        <w:t xml:space="preserve">54. </w:t>
      </w:r>
      <w:r>
        <w:tab/>
        <w:t xml:space="preserve">J. M. Samonds, V. Choi, N. J. Priebe, Mice Discriminate Stereoscopic Surfaces Without Fixating in Depth. </w:t>
      </w:r>
      <w:r>
        <w:rPr>
          <w:i/>
          <w:iCs/>
        </w:rPr>
        <w:t>J. Neurosci.</w:t>
      </w:r>
      <w:r>
        <w:t xml:space="preserve"> </w:t>
      </w:r>
      <w:r>
        <w:rPr>
          <w:b/>
          <w:bCs/>
        </w:rPr>
        <w:t>39</w:t>
      </w:r>
      <w:r>
        <w:t>, 8024–8037 (2019).</w:t>
      </w:r>
    </w:p>
    <w:p w14:paraId="610A0C05" w14:textId="77777777" w:rsidR="00501F3A" w:rsidRDefault="00501F3A" w:rsidP="00501F3A">
      <w:pPr>
        <w:pStyle w:val="Bibliography"/>
      </w:pPr>
      <w:r>
        <w:t xml:space="preserve">55. </w:t>
      </w:r>
      <w:r>
        <w:tab/>
        <w:t xml:space="preserve">J. K. Bester-Meredith, C. A. Marler, Vasopressin and aggression in cross-fostered California mice (Peromyscus californicus) and white-footed mice (Peromyscus leucopus). </w:t>
      </w:r>
      <w:r>
        <w:rPr>
          <w:i/>
          <w:iCs/>
        </w:rPr>
        <w:t>Horm Behav</w:t>
      </w:r>
      <w:r>
        <w:t xml:space="preserve"> </w:t>
      </w:r>
      <w:r>
        <w:rPr>
          <w:b/>
          <w:bCs/>
        </w:rPr>
        <w:t>40</w:t>
      </w:r>
      <w:r>
        <w:t>, 51–64 (2001).</w:t>
      </w:r>
    </w:p>
    <w:p w14:paraId="597C0FBB" w14:textId="77777777" w:rsidR="00501F3A" w:rsidRDefault="00501F3A" w:rsidP="00501F3A">
      <w:pPr>
        <w:pStyle w:val="Bibliography"/>
      </w:pPr>
      <w:r>
        <w:t xml:space="preserve">56. </w:t>
      </w:r>
      <w:r>
        <w:tab/>
        <w:t xml:space="preserve">E. M. Lewis, </w:t>
      </w:r>
      <w:r>
        <w:rPr>
          <w:i/>
          <w:iCs/>
        </w:rPr>
        <w:t>et al.</w:t>
      </w:r>
      <w:r>
        <w:t xml:space="preserve">, Parallel Social Information Processing Circuits Are Differentially Impacted in Autism. </w:t>
      </w:r>
      <w:r>
        <w:rPr>
          <w:i/>
          <w:iCs/>
        </w:rPr>
        <w:t>Neuron</w:t>
      </w:r>
      <w:r>
        <w:t xml:space="preserve"> </w:t>
      </w:r>
      <w:r>
        <w:rPr>
          <w:b/>
          <w:bCs/>
        </w:rPr>
        <w:t>108</w:t>
      </w:r>
      <w:r>
        <w:t>, 659-675.e6 (2020).</w:t>
      </w:r>
    </w:p>
    <w:p w14:paraId="077452B4" w14:textId="77777777" w:rsidR="00501F3A" w:rsidRDefault="00501F3A" w:rsidP="00501F3A">
      <w:pPr>
        <w:pStyle w:val="Bibliography"/>
      </w:pPr>
      <w:r>
        <w:t xml:space="preserve">57. </w:t>
      </w:r>
      <w:r>
        <w:tab/>
        <w:t xml:space="preserve">B. C. Trainor, C. A. Marler, Testosterone promotes paternal behaviour in a monogamous mammal via conversion to oestrogen. </w:t>
      </w:r>
      <w:r>
        <w:rPr>
          <w:i/>
          <w:iCs/>
        </w:rPr>
        <w:t>Proceedings of the Royal Society of London. Series B: Biological Sciences</w:t>
      </w:r>
      <w:r>
        <w:t xml:space="preserve"> </w:t>
      </w:r>
      <w:r>
        <w:rPr>
          <w:b/>
          <w:bCs/>
        </w:rPr>
        <w:t>269</w:t>
      </w:r>
      <w:r>
        <w:t>, 823–829 (2002).</w:t>
      </w:r>
    </w:p>
    <w:p w14:paraId="149567BC" w14:textId="77777777" w:rsidR="00501F3A" w:rsidRDefault="00501F3A" w:rsidP="00501F3A">
      <w:pPr>
        <w:pStyle w:val="Bibliography"/>
      </w:pPr>
      <w:r>
        <w:t xml:space="preserve">58. </w:t>
      </w:r>
      <w:r>
        <w:tab/>
        <w:t xml:space="preserve">C. E. Hostinar, A. E. Johnson, M. R. Gunnar, Parent support is less effective in buffering cortisol stress reactivity for adolescents compared to children. </w:t>
      </w:r>
      <w:r>
        <w:rPr>
          <w:i/>
          <w:iCs/>
        </w:rPr>
        <w:t>Dev Sci</w:t>
      </w:r>
      <w:r>
        <w:t xml:space="preserve"> </w:t>
      </w:r>
      <w:r>
        <w:rPr>
          <w:b/>
          <w:bCs/>
        </w:rPr>
        <w:t>18</w:t>
      </w:r>
      <w:r>
        <w:t>, 281–297 (2015).</w:t>
      </w:r>
    </w:p>
    <w:p w14:paraId="42B94E72" w14:textId="77777777" w:rsidR="00501F3A" w:rsidRDefault="00501F3A" w:rsidP="00501F3A">
      <w:pPr>
        <w:pStyle w:val="Bibliography"/>
      </w:pPr>
      <w:r>
        <w:t xml:space="preserve">59. </w:t>
      </w:r>
      <w:r>
        <w:tab/>
        <w:t xml:space="preserve">E. C. Wright, C. E. Hostinar, B. C. Trainor, Anxious to see you: Neuroendocrine mechanisms of social vigilance and anxiety during adolescence. </w:t>
      </w:r>
      <w:r>
        <w:rPr>
          <w:i/>
          <w:iCs/>
        </w:rPr>
        <w:t>European Journal of Neuroscience</w:t>
      </w:r>
      <w:r>
        <w:t xml:space="preserve"> </w:t>
      </w:r>
      <w:r>
        <w:rPr>
          <w:b/>
          <w:bCs/>
        </w:rPr>
        <w:t>52</w:t>
      </w:r>
      <w:r>
        <w:t>, 2516–2529 (2020).</w:t>
      </w:r>
    </w:p>
    <w:p w14:paraId="5A033943" w14:textId="77777777" w:rsidR="00501F3A" w:rsidRDefault="00501F3A" w:rsidP="00501F3A">
      <w:pPr>
        <w:pStyle w:val="Bibliography"/>
      </w:pPr>
      <w:r>
        <w:lastRenderedPageBreak/>
        <w:t xml:space="preserve">60. </w:t>
      </w:r>
      <w:r>
        <w:tab/>
        <w:t xml:space="preserve">A. J. Shackman, A. S. Fox, Contributions of the central extended amygdala to fear and anxiety. </w:t>
      </w:r>
      <w:r>
        <w:rPr>
          <w:i/>
          <w:iCs/>
        </w:rPr>
        <w:t>J. Neurosci.</w:t>
      </w:r>
      <w:r>
        <w:t xml:space="preserve"> </w:t>
      </w:r>
      <w:r>
        <w:rPr>
          <w:b/>
          <w:bCs/>
        </w:rPr>
        <w:t>36</w:t>
      </w:r>
      <w:r>
        <w:t>, 8050–8063 (2016).</w:t>
      </w:r>
    </w:p>
    <w:p w14:paraId="48B8B4FA" w14:textId="77777777" w:rsidR="00501F3A" w:rsidRDefault="00501F3A" w:rsidP="00501F3A">
      <w:pPr>
        <w:pStyle w:val="Bibliography"/>
      </w:pPr>
      <w:r>
        <w:t xml:space="preserve">61. </w:t>
      </w:r>
      <w:r>
        <w:tab/>
        <w:t xml:space="preserve">J. A. Clauss, S. N. Avery, M. M. Benningfield, J. U. Blackford, Social anxiety is associated with BNST response to unpredictability. </w:t>
      </w:r>
      <w:r>
        <w:rPr>
          <w:i/>
          <w:iCs/>
        </w:rPr>
        <w:t>Depress Anxiety</w:t>
      </w:r>
      <w:r>
        <w:t xml:space="preserve"> </w:t>
      </w:r>
      <w:r>
        <w:rPr>
          <w:b/>
          <w:bCs/>
        </w:rPr>
        <w:t>36</w:t>
      </w:r>
      <w:r>
        <w:t>, 666–675 (2019).</w:t>
      </w:r>
    </w:p>
    <w:p w14:paraId="7103BB66" w14:textId="77777777" w:rsidR="00501F3A" w:rsidRDefault="00501F3A" w:rsidP="00501F3A">
      <w:pPr>
        <w:pStyle w:val="Bibliography"/>
      </w:pPr>
      <w:r>
        <w:t xml:space="preserve">62. </w:t>
      </w:r>
      <w:r>
        <w:tab/>
        <w:t xml:space="preserve">S. Kollack-Walker, S. W. Newman, Mating and agonistic behavior produce different patters of Fos immunolabeling in the male Syrian hamster brain. </w:t>
      </w:r>
      <w:r>
        <w:rPr>
          <w:i/>
          <w:iCs/>
        </w:rPr>
        <w:t>Neuroscience</w:t>
      </w:r>
      <w:r>
        <w:t xml:space="preserve"> </w:t>
      </w:r>
      <w:r>
        <w:rPr>
          <w:b/>
          <w:bCs/>
        </w:rPr>
        <w:t>66</w:t>
      </w:r>
      <w:r>
        <w:t>, 721–736 (1995).</w:t>
      </w:r>
    </w:p>
    <w:p w14:paraId="37393D6E" w14:textId="77777777" w:rsidR="00501F3A" w:rsidRDefault="00501F3A" w:rsidP="00501F3A">
      <w:pPr>
        <w:pStyle w:val="Bibliography"/>
      </w:pPr>
      <w:r>
        <w:t xml:space="preserve">63. </w:t>
      </w:r>
      <w:r>
        <w:tab/>
        <w:t xml:space="preserve">N. Nasanbuyan, </w:t>
      </w:r>
      <w:r>
        <w:rPr>
          <w:i/>
          <w:iCs/>
        </w:rPr>
        <w:t>et al.</w:t>
      </w:r>
      <w:r>
        <w:t xml:space="preserve">, Oxytocin-Oxytocin Receptor Systems Facilitate Social Defeat Posture in Male Mice. </w:t>
      </w:r>
      <w:r>
        <w:rPr>
          <w:i/>
          <w:iCs/>
        </w:rPr>
        <w:t>Endocrinology</w:t>
      </w:r>
      <w:r>
        <w:t xml:space="preserve"> </w:t>
      </w:r>
      <w:r>
        <w:rPr>
          <w:b/>
          <w:bCs/>
        </w:rPr>
        <w:t>159</w:t>
      </w:r>
      <w:r>
        <w:t>, 763–775 (2018).</w:t>
      </w:r>
    </w:p>
    <w:p w14:paraId="29F664BA" w14:textId="77777777" w:rsidR="00501F3A" w:rsidRDefault="00501F3A" w:rsidP="00501F3A">
      <w:pPr>
        <w:pStyle w:val="Bibliography"/>
      </w:pPr>
      <w:r>
        <w:t xml:space="preserve">64. </w:t>
      </w:r>
      <w:r>
        <w:tab/>
        <w:t xml:space="preserve">E. L. Newman, </w:t>
      </w:r>
      <w:r>
        <w:rPr>
          <w:i/>
          <w:iCs/>
        </w:rPr>
        <w:t>et al.</w:t>
      </w:r>
      <w:r>
        <w:t xml:space="preserve">, Fighting Females: Neural and Behavioral Consequences of Social Defeat Stress in Female Mice. </w:t>
      </w:r>
      <w:r>
        <w:rPr>
          <w:i/>
          <w:iCs/>
        </w:rPr>
        <w:t>Biol. Psychiatry</w:t>
      </w:r>
      <w:r>
        <w:t xml:space="preserve"> </w:t>
      </w:r>
      <w:r>
        <w:rPr>
          <w:b/>
          <w:bCs/>
        </w:rPr>
        <w:t>86</w:t>
      </w:r>
      <w:r>
        <w:t>, 657–668 (2019).</w:t>
      </w:r>
    </w:p>
    <w:p w14:paraId="6C82FD26" w14:textId="77777777" w:rsidR="00501F3A" w:rsidRDefault="00501F3A" w:rsidP="00501F3A">
      <w:pPr>
        <w:pStyle w:val="Bibliography"/>
      </w:pPr>
      <w:r>
        <w:t xml:space="preserve">65. </w:t>
      </w:r>
      <w:r>
        <w:tab/>
        <w:t xml:space="preserve">M. Martinez, P. J. Phillips, J. Herbert, Adaptation in patterns of </w:t>
      </w:r>
      <w:r>
        <w:rPr>
          <w:i/>
          <w:iCs/>
        </w:rPr>
        <w:t>c‐fos</w:t>
      </w:r>
      <w:r>
        <w:t xml:space="preserve"> expression in the brain associated with exposure to either single or repeated social stress in male rats. </w:t>
      </w:r>
      <w:r>
        <w:rPr>
          <w:i/>
          <w:iCs/>
        </w:rPr>
        <w:t>European Journal of Neuroscience</w:t>
      </w:r>
      <w:r>
        <w:t xml:space="preserve"> </w:t>
      </w:r>
      <w:r>
        <w:rPr>
          <w:b/>
          <w:bCs/>
        </w:rPr>
        <w:t>10</w:t>
      </w:r>
      <w:r>
        <w:t>, 20–33 (1998).</w:t>
      </w:r>
    </w:p>
    <w:p w14:paraId="783682E1" w14:textId="77777777" w:rsidR="00501F3A" w:rsidRDefault="00501F3A" w:rsidP="00501F3A">
      <w:pPr>
        <w:pStyle w:val="Bibliography"/>
      </w:pPr>
      <w:r>
        <w:t xml:space="preserve">66. </w:t>
      </w:r>
      <w:r>
        <w:tab/>
        <w:t xml:space="preserve">A. S. Fox, </w:t>
      </w:r>
      <w:r>
        <w:rPr>
          <w:i/>
          <w:iCs/>
        </w:rPr>
        <w:t>et al.</w:t>
      </w:r>
      <w:r>
        <w:t xml:space="preserve">, Intergenerational neural mediators of early-life anxious temperament. </w:t>
      </w:r>
      <w:r>
        <w:rPr>
          <w:i/>
          <w:iCs/>
        </w:rPr>
        <w:t>Proc. Natl. Acad. Sci. U.S.A.</w:t>
      </w:r>
      <w:r>
        <w:t xml:space="preserve"> </w:t>
      </w:r>
      <w:r>
        <w:rPr>
          <w:b/>
          <w:bCs/>
        </w:rPr>
        <w:t>112</w:t>
      </w:r>
      <w:r>
        <w:t>, 9118–9122 (2015).</w:t>
      </w:r>
    </w:p>
    <w:p w14:paraId="5E47D71D" w14:textId="77777777" w:rsidR="00501F3A" w:rsidRDefault="00501F3A" w:rsidP="00501F3A">
      <w:pPr>
        <w:pStyle w:val="Bibliography"/>
      </w:pPr>
      <w:r>
        <w:t xml:space="preserve">67. </w:t>
      </w:r>
      <w:r>
        <w:tab/>
        <w:t xml:space="preserve">M. Davis, D. L. Walker, L. Miles, C. Grillon, Phasic vs Sustained Fear in Rats and Humans: Role of the Extended Amygdala in Fear vs Anxiety. </w:t>
      </w:r>
      <w:r>
        <w:rPr>
          <w:i/>
          <w:iCs/>
        </w:rPr>
        <w:t>Neuropsychopharmacology</w:t>
      </w:r>
      <w:r>
        <w:t xml:space="preserve"> </w:t>
      </w:r>
      <w:r>
        <w:rPr>
          <w:b/>
          <w:bCs/>
        </w:rPr>
        <w:t>35</w:t>
      </w:r>
      <w:r>
        <w:t>, 105–135 (2010).</w:t>
      </w:r>
    </w:p>
    <w:p w14:paraId="05146A9A" w14:textId="77777777" w:rsidR="00501F3A" w:rsidRDefault="00501F3A" w:rsidP="00501F3A">
      <w:pPr>
        <w:pStyle w:val="Bibliography"/>
      </w:pPr>
      <w:r>
        <w:t xml:space="preserve">68. </w:t>
      </w:r>
      <w:r>
        <w:tab/>
        <w:t xml:space="preserve">M. Q. Steinman, </w:t>
      </w:r>
      <w:r>
        <w:rPr>
          <w:i/>
          <w:iCs/>
        </w:rPr>
        <w:t>et al.</w:t>
      </w:r>
      <w:r>
        <w:t xml:space="preserve">, Hypothalamic vasopressin systems are more sensitive to the long term effects of social defeat in males versus females. </w:t>
      </w:r>
      <w:r>
        <w:rPr>
          <w:i/>
          <w:iCs/>
        </w:rPr>
        <w:t>Psychoneuroendocrinology</w:t>
      </w:r>
      <w:r>
        <w:t xml:space="preserve"> </w:t>
      </w:r>
      <w:r>
        <w:rPr>
          <w:b/>
          <w:bCs/>
        </w:rPr>
        <w:t>51</w:t>
      </w:r>
      <w:r>
        <w:t xml:space="preserve"> (2015).</w:t>
      </w:r>
    </w:p>
    <w:p w14:paraId="7B4A3B1B" w14:textId="77777777" w:rsidR="00501F3A" w:rsidRDefault="00501F3A" w:rsidP="00501F3A">
      <w:pPr>
        <w:pStyle w:val="Bibliography"/>
      </w:pPr>
      <w:r>
        <w:t xml:space="preserve">69. </w:t>
      </w:r>
      <w:r>
        <w:tab/>
        <w:t xml:space="preserve">M. E. Flanigan, T. L. Kash, Coordination of social behaviors by the bed nucleus of the stria terminalis. </w:t>
      </w:r>
      <w:r>
        <w:rPr>
          <w:i/>
          <w:iCs/>
        </w:rPr>
        <w:t>European Journal of Neuroscience</w:t>
      </w:r>
      <w:r>
        <w:t xml:space="preserve"> </w:t>
      </w:r>
      <w:r>
        <w:rPr>
          <w:b/>
          <w:bCs/>
        </w:rPr>
        <w:t>55</w:t>
      </w:r>
      <w:r>
        <w:t>, 2404–2420 (2020).</w:t>
      </w:r>
    </w:p>
    <w:p w14:paraId="69CA7E9B" w14:textId="77777777" w:rsidR="00501F3A" w:rsidRDefault="00501F3A" w:rsidP="00501F3A">
      <w:pPr>
        <w:pStyle w:val="Bibliography"/>
      </w:pPr>
      <w:r>
        <w:t xml:space="preserve">70. </w:t>
      </w:r>
      <w:r>
        <w:tab/>
        <w:t xml:space="preserve">M. A. Lebow, A. Chen, Overshadowed by the amygdala: the bed nucleus of the stria terminalis emerges as key to psychiatric disorders. </w:t>
      </w:r>
      <w:r>
        <w:rPr>
          <w:i/>
          <w:iCs/>
        </w:rPr>
        <w:t>Mol Psychiatry</w:t>
      </w:r>
      <w:r>
        <w:t xml:space="preserve"> </w:t>
      </w:r>
      <w:r>
        <w:rPr>
          <w:b/>
          <w:bCs/>
        </w:rPr>
        <w:t>21</w:t>
      </w:r>
      <w:r>
        <w:t>, 450–463 (2016).</w:t>
      </w:r>
    </w:p>
    <w:p w14:paraId="1867EDA2" w14:textId="77777777" w:rsidR="00501F3A" w:rsidRDefault="00501F3A" w:rsidP="00501F3A">
      <w:pPr>
        <w:pStyle w:val="Bibliography"/>
      </w:pPr>
      <w:r>
        <w:t xml:space="preserve">71. </w:t>
      </w:r>
      <w:r>
        <w:tab/>
        <w:t xml:space="preserve">S. Lissek, </w:t>
      </w:r>
      <w:r>
        <w:rPr>
          <w:i/>
          <w:iCs/>
        </w:rPr>
        <w:t>et al.</w:t>
      </w:r>
      <w:r>
        <w:t xml:space="preserve">, Classical fear conditioning in the anxiety disorders: a meta-analysis. </w:t>
      </w:r>
      <w:r>
        <w:rPr>
          <w:i/>
          <w:iCs/>
        </w:rPr>
        <w:t>Behaviour Research and Therapy</w:t>
      </w:r>
      <w:r>
        <w:t xml:space="preserve"> </w:t>
      </w:r>
      <w:r>
        <w:rPr>
          <w:b/>
          <w:bCs/>
        </w:rPr>
        <w:t>43</w:t>
      </w:r>
      <w:r>
        <w:t>, 1391–1424 (2005).</w:t>
      </w:r>
    </w:p>
    <w:p w14:paraId="661413DA" w14:textId="77777777" w:rsidR="00501F3A" w:rsidRDefault="00501F3A" w:rsidP="00501F3A">
      <w:pPr>
        <w:pStyle w:val="Bibliography"/>
      </w:pPr>
      <w:r>
        <w:t xml:space="preserve">72. </w:t>
      </w:r>
      <w:r>
        <w:tab/>
        <w:t xml:space="preserve">A. S. Fox, S. E. Shelton, T. R. Oakes, R. J. Davidson, N. H. Kalin, Trait-Like Brain Activity during Adolescence Predicts Anxious Temperament in Primates. </w:t>
      </w:r>
      <w:r>
        <w:rPr>
          <w:i/>
          <w:iCs/>
        </w:rPr>
        <w:t>PLOS ONE</w:t>
      </w:r>
      <w:r>
        <w:t xml:space="preserve"> </w:t>
      </w:r>
      <w:r>
        <w:rPr>
          <w:b/>
          <w:bCs/>
        </w:rPr>
        <w:t>3</w:t>
      </w:r>
      <w:r>
        <w:t>, e2570 (2008).</w:t>
      </w:r>
    </w:p>
    <w:p w14:paraId="2B4A6E49" w14:textId="77777777" w:rsidR="00501F3A" w:rsidRDefault="00501F3A" w:rsidP="00501F3A">
      <w:pPr>
        <w:pStyle w:val="Bibliography"/>
      </w:pPr>
      <w:r>
        <w:t xml:space="preserve">73. </w:t>
      </w:r>
      <w:r>
        <w:tab/>
        <w:t xml:space="preserve">E. S. Williams, </w:t>
      </w:r>
      <w:r>
        <w:rPr>
          <w:i/>
          <w:iCs/>
        </w:rPr>
        <w:t>et al.</w:t>
      </w:r>
      <w:r>
        <w:t xml:space="preserve">, Androgen-Dependent Excitability of Mouse Ventral Hippocampal Afferents to Nucleus Accumbens Underlies Sex-Specific Susceptibility to Stress. </w:t>
      </w:r>
      <w:r>
        <w:rPr>
          <w:i/>
          <w:iCs/>
        </w:rPr>
        <w:t>Biol. Psychiatry</w:t>
      </w:r>
      <w:r>
        <w:t xml:space="preserve"> </w:t>
      </w:r>
      <w:r>
        <w:rPr>
          <w:b/>
          <w:bCs/>
        </w:rPr>
        <w:t>87</w:t>
      </w:r>
      <w:r>
        <w:t>, 492–501 (2020).</w:t>
      </w:r>
    </w:p>
    <w:p w14:paraId="6175A30F" w14:textId="77777777" w:rsidR="00501F3A" w:rsidRDefault="00501F3A" w:rsidP="00501F3A">
      <w:pPr>
        <w:pStyle w:val="Bibliography"/>
      </w:pPr>
      <w:r>
        <w:t xml:space="preserve">74. </w:t>
      </w:r>
      <w:r>
        <w:tab/>
        <w:t xml:space="preserve">C. W. Harley, C. W. Malsbury, A. Squires, R. A. Brown, Testosterone decreases CA1 plasticity in vivo in gonadectomized male rats. </w:t>
      </w:r>
      <w:r>
        <w:rPr>
          <w:i/>
          <w:iCs/>
        </w:rPr>
        <w:t>Hippocampus</w:t>
      </w:r>
      <w:r>
        <w:t xml:space="preserve"> </w:t>
      </w:r>
      <w:r>
        <w:rPr>
          <w:b/>
          <w:bCs/>
        </w:rPr>
        <w:t>10</w:t>
      </w:r>
      <w:r>
        <w:t>, 693–697 (2000).</w:t>
      </w:r>
    </w:p>
    <w:p w14:paraId="78FD6DA8" w14:textId="77777777" w:rsidR="00501F3A" w:rsidRDefault="00501F3A" w:rsidP="00501F3A">
      <w:pPr>
        <w:pStyle w:val="Bibliography"/>
      </w:pPr>
      <w:r>
        <w:lastRenderedPageBreak/>
        <w:t xml:space="preserve">75. </w:t>
      </w:r>
      <w:r>
        <w:tab/>
        <w:t xml:space="preserve">P. C. Hebbard, R. R. King, C. W. Malsbury, C. W. Harley, Two organizational effects of pubertal testosterone in male rats: transient social memory and a shift away from long-term potentiation following a tetanus in hippocampal CA1. </w:t>
      </w:r>
      <w:r>
        <w:rPr>
          <w:i/>
          <w:iCs/>
        </w:rPr>
        <w:t>Experimental Neurology</w:t>
      </w:r>
      <w:r>
        <w:t xml:space="preserve"> </w:t>
      </w:r>
      <w:r>
        <w:rPr>
          <w:b/>
          <w:bCs/>
        </w:rPr>
        <w:t>182</w:t>
      </w:r>
      <w:r>
        <w:t>, 470–475 (2003).</w:t>
      </w:r>
    </w:p>
    <w:p w14:paraId="2D64C5DC" w14:textId="77777777" w:rsidR="00501F3A" w:rsidRDefault="00501F3A" w:rsidP="00501F3A">
      <w:pPr>
        <w:pStyle w:val="Bibliography"/>
      </w:pPr>
      <w:r>
        <w:t xml:space="preserve">76. </w:t>
      </w:r>
      <w:r>
        <w:tab/>
        <w:t xml:space="preserve">F. Moradpour, Y. Fathollahi, N. Naghdi, N. Hosseinmardi, M. Javan, Prepubertal castration causes the age-dependent changes in hippocampal long-term potentiation. </w:t>
      </w:r>
      <w:r>
        <w:rPr>
          <w:i/>
          <w:iCs/>
        </w:rPr>
        <w:t>Synapse</w:t>
      </w:r>
      <w:r>
        <w:t xml:space="preserve"> </w:t>
      </w:r>
      <w:r>
        <w:rPr>
          <w:b/>
          <w:bCs/>
        </w:rPr>
        <w:t>67</w:t>
      </w:r>
      <w:r>
        <w:t>, 235–244 (2013).</w:t>
      </w:r>
    </w:p>
    <w:p w14:paraId="0E075E45" w14:textId="77777777" w:rsidR="00501F3A" w:rsidRDefault="00501F3A" w:rsidP="00501F3A">
      <w:pPr>
        <w:pStyle w:val="Bibliography"/>
      </w:pPr>
      <w:r>
        <w:t xml:space="preserve">77. </w:t>
      </w:r>
      <w:r>
        <w:tab/>
        <w:t xml:space="preserve">H. S. Knobloch, </w:t>
      </w:r>
      <w:r>
        <w:rPr>
          <w:i/>
          <w:iCs/>
        </w:rPr>
        <w:t>et al.</w:t>
      </w:r>
      <w:r>
        <w:t xml:space="preserve">, Evoked axonal oxytocin release in the central amygdala attenuates fear response. </w:t>
      </w:r>
      <w:r>
        <w:rPr>
          <w:i/>
          <w:iCs/>
        </w:rPr>
        <w:t>Neuron</w:t>
      </w:r>
      <w:r>
        <w:t xml:space="preserve"> </w:t>
      </w:r>
      <w:r>
        <w:rPr>
          <w:b/>
          <w:bCs/>
        </w:rPr>
        <w:t>73</w:t>
      </w:r>
      <w:r>
        <w:t>, 553–566 (2012).</w:t>
      </w:r>
    </w:p>
    <w:p w14:paraId="4BB82C45" w14:textId="77777777" w:rsidR="00501F3A" w:rsidRDefault="00501F3A" w:rsidP="00501F3A">
      <w:pPr>
        <w:pStyle w:val="Bibliography"/>
      </w:pPr>
      <w:r>
        <w:t xml:space="preserve">78. </w:t>
      </w:r>
      <w:r>
        <w:tab/>
        <w:t xml:space="preserve">W. Yu, C. M. Caira, N. Del R Rivera Sanchez, G. A. Moseley, T. L. Kash, Corticotropin-releasing factor neurons in the bed nucleus of the stria terminalis exhibit sex-specific pain encoding in mice. </w:t>
      </w:r>
      <w:r>
        <w:rPr>
          <w:i/>
          <w:iCs/>
        </w:rPr>
        <w:t>Sci Rep</w:t>
      </w:r>
      <w:r>
        <w:t xml:space="preserve"> </w:t>
      </w:r>
      <w:r>
        <w:rPr>
          <w:b/>
          <w:bCs/>
        </w:rPr>
        <w:t>11</w:t>
      </w:r>
      <w:r>
        <w:t>, 12500 (2021).</w:t>
      </w:r>
    </w:p>
    <w:p w14:paraId="73873D89" w14:textId="77777777" w:rsidR="00501F3A" w:rsidRDefault="00501F3A" w:rsidP="00501F3A">
      <w:pPr>
        <w:pStyle w:val="Bibliography"/>
      </w:pPr>
      <w:r>
        <w:t xml:space="preserve">79. </w:t>
      </w:r>
      <w:r>
        <w:tab/>
        <w:t xml:space="preserve">J. Rodriguez-Romaguera, </w:t>
      </w:r>
      <w:r>
        <w:rPr>
          <w:i/>
          <w:iCs/>
        </w:rPr>
        <w:t>et al.</w:t>
      </w:r>
      <w:r>
        <w:t xml:space="preserve">, Prepronociceptin-Expressing Neurons in the Extended Amygdala Encode and Promote Rapid Arousal Responses to Motivationally Salient Stimuli. </w:t>
      </w:r>
      <w:r>
        <w:rPr>
          <w:i/>
          <w:iCs/>
        </w:rPr>
        <w:t>Cell Reports</w:t>
      </w:r>
      <w:r>
        <w:t xml:space="preserve"> </w:t>
      </w:r>
      <w:r>
        <w:rPr>
          <w:b/>
          <w:bCs/>
        </w:rPr>
        <w:t>33</w:t>
      </w:r>
      <w:r>
        <w:t>, 108362 (2020).</w:t>
      </w:r>
    </w:p>
    <w:p w14:paraId="2650B53F" w14:textId="77777777" w:rsidR="00501F3A" w:rsidRDefault="00501F3A" w:rsidP="00501F3A">
      <w:pPr>
        <w:pStyle w:val="Bibliography"/>
      </w:pPr>
      <w:r>
        <w:t xml:space="preserve">80. </w:t>
      </w:r>
      <w:r>
        <w:tab/>
        <w:t xml:space="preserve">B. Yang, T. Karigo, D. J. Anderson, Transformations of neural representations in a social behaviour network. </w:t>
      </w:r>
      <w:r>
        <w:rPr>
          <w:i/>
          <w:iCs/>
        </w:rPr>
        <w:t>Nature</w:t>
      </w:r>
      <w:r>
        <w:t xml:space="preserve"> </w:t>
      </w:r>
      <w:r>
        <w:rPr>
          <w:b/>
          <w:bCs/>
        </w:rPr>
        <w:t>608</w:t>
      </w:r>
      <w:r>
        <w:t>, 741–749 (2022).</w:t>
      </w:r>
    </w:p>
    <w:p w14:paraId="0145EAC3" w14:textId="77777777" w:rsidR="00501F3A" w:rsidRDefault="00501F3A" w:rsidP="00501F3A">
      <w:pPr>
        <w:pStyle w:val="Bibliography"/>
      </w:pPr>
      <w:r>
        <w:t xml:space="preserve">81. </w:t>
      </w:r>
      <w:r>
        <w:tab/>
        <w:t xml:space="preserve">N. Kaouane, S. Ada, M. Hausleitner, W. Haubensak, Dorsal Bed Nucleus of the Stria Terminalis-Subcortical Output Circuits Encode Positive Bias in Pavlovian Fear and Reward. </w:t>
      </w:r>
      <w:r>
        <w:rPr>
          <w:i/>
          <w:iCs/>
        </w:rPr>
        <w:t>Front. Neural Circuits</w:t>
      </w:r>
      <w:r>
        <w:t xml:space="preserve"> </w:t>
      </w:r>
      <w:r>
        <w:rPr>
          <w:b/>
          <w:bCs/>
        </w:rPr>
        <w:t>15</w:t>
      </w:r>
      <w:r>
        <w:t>, 772512 (2021).</w:t>
      </w:r>
    </w:p>
    <w:p w14:paraId="724BE925" w14:textId="77777777" w:rsidR="00501F3A" w:rsidRDefault="00501F3A" w:rsidP="00501F3A">
      <w:pPr>
        <w:pStyle w:val="Bibliography"/>
      </w:pPr>
      <w:r>
        <w:t xml:space="preserve">82. </w:t>
      </w:r>
      <w:r>
        <w:tab/>
        <w:t xml:space="preserve">G. Tian, </w:t>
      </w:r>
      <w:r>
        <w:rPr>
          <w:i/>
          <w:iCs/>
        </w:rPr>
        <w:t>et al.</w:t>
      </w:r>
      <w:r>
        <w:t xml:space="preserve">, An extended amygdala-midbrain circuit controlling cocaine withdrawal-induced anxiety and reinstatement. </w:t>
      </w:r>
      <w:r>
        <w:rPr>
          <w:i/>
          <w:iCs/>
        </w:rPr>
        <w:t>Cell Reports</w:t>
      </w:r>
      <w:r>
        <w:t xml:space="preserve"> </w:t>
      </w:r>
      <w:r>
        <w:rPr>
          <w:b/>
          <w:bCs/>
        </w:rPr>
        <w:t>39</w:t>
      </w:r>
      <w:r>
        <w:t>, 110775 (2022).</w:t>
      </w:r>
    </w:p>
    <w:p w14:paraId="653C1405" w14:textId="77777777" w:rsidR="00501F3A" w:rsidRDefault="00501F3A" w:rsidP="00501F3A">
      <w:pPr>
        <w:pStyle w:val="Bibliography"/>
      </w:pPr>
      <w:r>
        <w:t xml:space="preserve">83. </w:t>
      </w:r>
      <w:r>
        <w:tab/>
        <w:t xml:space="preserve">S.-Y. Kim, </w:t>
      </w:r>
      <w:r>
        <w:rPr>
          <w:i/>
          <w:iCs/>
        </w:rPr>
        <w:t>et al.</w:t>
      </w:r>
      <w:r>
        <w:t xml:space="preserve">, Diverging neural pathways assemble a behavioural state from separable features in anxiety. </w:t>
      </w:r>
      <w:r>
        <w:rPr>
          <w:i/>
          <w:iCs/>
        </w:rPr>
        <w:t>Nature</w:t>
      </w:r>
      <w:r>
        <w:t xml:space="preserve"> </w:t>
      </w:r>
      <w:r>
        <w:rPr>
          <w:b/>
          <w:bCs/>
        </w:rPr>
        <w:t>496</w:t>
      </w:r>
      <w:r>
        <w:t>, 219–223 (2013).</w:t>
      </w:r>
    </w:p>
    <w:p w14:paraId="4CD8F8A1" w14:textId="77777777" w:rsidR="00501F3A" w:rsidRDefault="00501F3A" w:rsidP="00501F3A">
      <w:pPr>
        <w:pStyle w:val="Bibliography"/>
      </w:pPr>
      <w:r>
        <w:t xml:space="preserve">84. </w:t>
      </w:r>
      <w:r>
        <w:tab/>
        <w:t xml:space="preserve">J. H. Jennings, </w:t>
      </w:r>
      <w:r>
        <w:rPr>
          <w:i/>
          <w:iCs/>
        </w:rPr>
        <w:t>et al.</w:t>
      </w:r>
      <w:r>
        <w:t xml:space="preserve">, Distinct extended amygdala circuits for divergent motivational states. </w:t>
      </w:r>
      <w:r>
        <w:rPr>
          <w:i/>
          <w:iCs/>
        </w:rPr>
        <w:t>Nature</w:t>
      </w:r>
      <w:r>
        <w:t xml:space="preserve"> </w:t>
      </w:r>
      <w:r>
        <w:rPr>
          <w:b/>
          <w:bCs/>
        </w:rPr>
        <w:t>496</w:t>
      </w:r>
      <w:r>
        <w:t>, 224–228 (2013).</w:t>
      </w:r>
    </w:p>
    <w:p w14:paraId="3AC71925" w14:textId="77777777" w:rsidR="00501F3A" w:rsidRDefault="00501F3A" w:rsidP="00501F3A">
      <w:pPr>
        <w:pStyle w:val="Bibliography"/>
      </w:pPr>
      <w:r>
        <w:t xml:space="preserve">85. </w:t>
      </w:r>
      <w:r>
        <w:tab/>
        <w:t xml:space="preserve">W. J. Giardino, </w:t>
      </w:r>
      <w:r>
        <w:rPr>
          <w:i/>
          <w:iCs/>
        </w:rPr>
        <w:t>et al.</w:t>
      </w:r>
      <w:r>
        <w:t xml:space="preserve">, Parallel circuits from the bed nuclei of stria terminalis to the lateral hypothalamus drive opposing emotional states. </w:t>
      </w:r>
      <w:r>
        <w:rPr>
          <w:i/>
          <w:iCs/>
        </w:rPr>
        <w:t>Nat Neurosci</w:t>
      </w:r>
      <w:r>
        <w:t xml:space="preserve"> </w:t>
      </w:r>
      <w:r>
        <w:rPr>
          <w:b/>
          <w:bCs/>
        </w:rPr>
        <w:t>21</w:t>
      </w:r>
      <w:r>
        <w:t>, 1084–1095 (2018).</w:t>
      </w:r>
    </w:p>
    <w:p w14:paraId="031C866C" w14:textId="77777777" w:rsidR="00501F3A" w:rsidRDefault="00501F3A" w:rsidP="00501F3A">
      <w:pPr>
        <w:pStyle w:val="Bibliography"/>
      </w:pPr>
      <w:r>
        <w:t xml:space="preserve">86. </w:t>
      </w:r>
      <w:r>
        <w:tab/>
        <w:t xml:space="preserve">P. Corbier, D. A. Edwards, J. Roffi, The neonatal testosterone surge: A comparative study. </w:t>
      </w:r>
      <w:r>
        <w:rPr>
          <w:i/>
          <w:iCs/>
        </w:rPr>
        <w:t>Archives Internationales de Physiologie, de Biochimie et de Biophysique</w:t>
      </w:r>
      <w:r>
        <w:t xml:space="preserve"> </w:t>
      </w:r>
      <w:r>
        <w:rPr>
          <w:b/>
          <w:bCs/>
        </w:rPr>
        <w:t>100</w:t>
      </w:r>
      <w:r>
        <w:t>, 127–131 (1992).</w:t>
      </w:r>
    </w:p>
    <w:p w14:paraId="785D98E0" w14:textId="77777777" w:rsidR="00501F3A" w:rsidRDefault="00501F3A" w:rsidP="00501F3A">
      <w:pPr>
        <w:pStyle w:val="Bibliography"/>
      </w:pPr>
      <w:r>
        <w:t xml:space="preserve">87. </w:t>
      </w:r>
      <w:r>
        <w:tab/>
        <w:t xml:space="preserve">K. M. Lenz, M. M. McCarthy, Organized for sex - steroid hormones and the developing hypothalamus: Steroids and the developing hypothalamus. </w:t>
      </w:r>
      <w:r>
        <w:rPr>
          <w:i/>
          <w:iCs/>
        </w:rPr>
        <w:t>European Journal of Neuroscience</w:t>
      </w:r>
      <w:r>
        <w:t xml:space="preserve"> </w:t>
      </w:r>
      <w:r>
        <w:rPr>
          <w:b/>
          <w:bCs/>
        </w:rPr>
        <w:t>32</w:t>
      </w:r>
      <w:r>
        <w:t>, 2096–2104 (2010).</w:t>
      </w:r>
    </w:p>
    <w:p w14:paraId="39BEB9B2" w14:textId="77777777" w:rsidR="00501F3A" w:rsidRDefault="00501F3A" w:rsidP="00501F3A">
      <w:pPr>
        <w:pStyle w:val="Bibliography"/>
      </w:pPr>
      <w:r>
        <w:lastRenderedPageBreak/>
        <w:t xml:space="preserve">88. </w:t>
      </w:r>
      <w:r>
        <w:tab/>
        <w:t xml:space="preserve">M. A. Cooper, </w:t>
      </w:r>
      <w:r>
        <w:rPr>
          <w:i/>
          <w:iCs/>
        </w:rPr>
        <w:t>et al.</w:t>
      </w:r>
      <w:r>
        <w:t xml:space="preserve">, Gonadal steroid hormone receptors in the medial amygdala contribute to experience-dependent changes in stress vulnerability. </w:t>
      </w:r>
      <w:r>
        <w:rPr>
          <w:i/>
          <w:iCs/>
        </w:rPr>
        <w:t>Psychoneuroendocrinology</w:t>
      </w:r>
      <w:r>
        <w:t xml:space="preserve"> </w:t>
      </w:r>
      <w:r>
        <w:rPr>
          <w:b/>
          <w:bCs/>
        </w:rPr>
        <w:t>129</w:t>
      </w:r>
      <w:r>
        <w:t>, 105249 (2021).</w:t>
      </w:r>
    </w:p>
    <w:p w14:paraId="64E6B6DB" w14:textId="77777777" w:rsidR="00501F3A" w:rsidRDefault="00501F3A" w:rsidP="00501F3A">
      <w:pPr>
        <w:pStyle w:val="Bibliography"/>
      </w:pPr>
      <w:r>
        <w:t xml:space="preserve">89. </w:t>
      </w:r>
      <w:r>
        <w:tab/>
        <w:t xml:space="preserve">J. L. Aikey, J. G. Nyby, D. M. Anmuth, P. J. James, Testosterone Rapidly Reduces Anxiety in Male House Mice (Mus musculus). </w:t>
      </w:r>
      <w:r>
        <w:rPr>
          <w:i/>
          <w:iCs/>
        </w:rPr>
        <w:t>Hormones and Behavior</w:t>
      </w:r>
      <w:r>
        <w:t xml:space="preserve"> </w:t>
      </w:r>
      <w:r>
        <w:rPr>
          <w:b/>
          <w:bCs/>
        </w:rPr>
        <w:t>42</w:t>
      </w:r>
      <w:r>
        <w:t>, 448–460 (2002).</w:t>
      </w:r>
    </w:p>
    <w:p w14:paraId="0201DD8F" w14:textId="77777777" w:rsidR="00501F3A" w:rsidRDefault="00501F3A" w:rsidP="00501F3A">
      <w:pPr>
        <w:pStyle w:val="Bibliography"/>
      </w:pPr>
      <w:r>
        <w:t xml:space="preserve">90. </w:t>
      </w:r>
      <w:r>
        <w:tab/>
        <w:t xml:space="preserve">C. A. Frye, A. M. Seliga, Testosterone increases analgesia, anxiolysis, and cognitive performance of male rats. </w:t>
      </w:r>
      <w:r>
        <w:rPr>
          <w:i/>
          <w:iCs/>
        </w:rPr>
        <w:t>Cognitive, Affective, &amp; Behavioral Neuroscience</w:t>
      </w:r>
      <w:r>
        <w:t xml:space="preserve"> </w:t>
      </w:r>
      <w:r>
        <w:rPr>
          <w:b/>
          <w:bCs/>
        </w:rPr>
        <w:t>1</w:t>
      </w:r>
      <w:r>
        <w:t>, 371–381 (2001).</w:t>
      </w:r>
    </w:p>
    <w:p w14:paraId="1C9D5CF1" w14:textId="77777777" w:rsidR="00501F3A" w:rsidRDefault="00501F3A" w:rsidP="00501F3A">
      <w:pPr>
        <w:pStyle w:val="Bibliography"/>
      </w:pPr>
      <w:r>
        <w:t xml:space="preserve">91. </w:t>
      </w:r>
      <w:r>
        <w:tab/>
        <w:t xml:space="preserve">N. Carrier, M. Kabbaj, Extracellular Signal-Regulated Kinase 2 Signaling in the Hippocampal Dentate Gyrus Mediates the Antidepressant Effects of Testosterone. </w:t>
      </w:r>
      <w:r>
        <w:rPr>
          <w:i/>
          <w:iCs/>
        </w:rPr>
        <w:t>Biological Psychiatry</w:t>
      </w:r>
      <w:r>
        <w:t xml:space="preserve"> </w:t>
      </w:r>
      <w:r>
        <w:rPr>
          <w:b/>
          <w:bCs/>
        </w:rPr>
        <w:t>71</w:t>
      </w:r>
      <w:r>
        <w:t>, 642–651 (2012).</w:t>
      </w:r>
    </w:p>
    <w:p w14:paraId="5C03408D" w14:textId="77777777" w:rsidR="00501F3A" w:rsidRDefault="00501F3A" w:rsidP="00501F3A">
      <w:pPr>
        <w:pStyle w:val="Bibliography"/>
      </w:pPr>
      <w:r>
        <w:t xml:space="preserve">92. </w:t>
      </w:r>
      <w:r>
        <w:tab/>
        <w:t xml:space="preserve">T. E. Seeman, B. Singer, C. W. Wilkinson, Bruce McEwen, Gender differences in age-related changes in HPA axis reactivity. </w:t>
      </w:r>
      <w:r>
        <w:rPr>
          <w:i/>
          <w:iCs/>
        </w:rPr>
        <w:t>Psychoneuroendocrinology</w:t>
      </w:r>
      <w:r>
        <w:t xml:space="preserve"> </w:t>
      </w:r>
      <w:r>
        <w:rPr>
          <w:b/>
          <w:bCs/>
        </w:rPr>
        <w:t>26</w:t>
      </w:r>
      <w:r>
        <w:t>, 225–240 (2001).</w:t>
      </w:r>
    </w:p>
    <w:p w14:paraId="03D03825" w14:textId="77777777" w:rsidR="00501F3A" w:rsidRDefault="00501F3A" w:rsidP="00501F3A">
      <w:pPr>
        <w:pStyle w:val="Bibliography"/>
      </w:pPr>
      <w:r>
        <w:t xml:space="preserve">93. </w:t>
      </w:r>
      <w:r>
        <w:tab/>
        <w:t xml:space="preserve">M. Uhart, R. Chong, L. Oswald, P. Lin, G. Wand, Gender differences in hypothalamic–pituitary–adrenal (HPA) axis reactivity. </w:t>
      </w:r>
      <w:r>
        <w:rPr>
          <w:i/>
          <w:iCs/>
        </w:rPr>
        <w:t>Psychoneuroendocrinology</w:t>
      </w:r>
      <w:r>
        <w:t xml:space="preserve"> </w:t>
      </w:r>
      <w:r>
        <w:rPr>
          <w:b/>
          <w:bCs/>
        </w:rPr>
        <w:t>31</w:t>
      </w:r>
      <w:r>
        <w:t>, 642–652 (2006).</w:t>
      </w:r>
    </w:p>
    <w:p w14:paraId="66068B87" w14:textId="77777777" w:rsidR="00501F3A" w:rsidRDefault="00501F3A" w:rsidP="00501F3A">
      <w:pPr>
        <w:pStyle w:val="Bibliography"/>
      </w:pPr>
      <w:r>
        <w:t xml:space="preserve">94. </w:t>
      </w:r>
      <w:r>
        <w:tab/>
        <w:t xml:space="preserve">C. Kirschbaum, B. M. Kudielka, J. Gaab, N. C. Schommer, D. H. Hellhammer, Impact of Gender, Menstrual Cycle Phase, and Oral Contraceptives on the Activity of the Hypothalamus-Pituitary-Adrenal Axis: </w:t>
      </w:r>
      <w:r>
        <w:rPr>
          <w:i/>
          <w:iCs/>
        </w:rPr>
        <w:t>Psychosomatic Medicine</w:t>
      </w:r>
      <w:r>
        <w:t xml:space="preserve"> </w:t>
      </w:r>
      <w:r>
        <w:rPr>
          <w:b/>
          <w:bCs/>
        </w:rPr>
        <w:t>61</w:t>
      </w:r>
      <w:r>
        <w:t>, 154–162 (1999).</w:t>
      </w:r>
    </w:p>
    <w:p w14:paraId="24239AB4" w14:textId="77777777" w:rsidR="00501F3A" w:rsidRDefault="00501F3A" w:rsidP="00501F3A">
      <w:pPr>
        <w:pStyle w:val="Bibliography"/>
      </w:pPr>
      <w:r>
        <w:t xml:space="preserve">95. </w:t>
      </w:r>
      <w:r>
        <w:tab/>
        <w:t xml:space="preserve">A. P. Borrow, R. J. Handa, “Estrogen Receptors Modulation of Anxiety-Like Behavior” in </w:t>
      </w:r>
      <w:r>
        <w:rPr>
          <w:i/>
          <w:iCs/>
        </w:rPr>
        <w:t>Vitamins and Hormones</w:t>
      </w:r>
      <w:r>
        <w:t>, (Elsevier, 2017), pp. 27–52.</w:t>
      </w:r>
    </w:p>
    <w:p w14:paraId="04F2AB02" w14:textId="77777777" w:rsidR="00501F3A" w:rsidRDefault="00501F3A" w:rsidP="00501F3A">
      <w:pPr>
        <w:pStyle w:val="Bibliography"/>
      </w:pPr>
      <w:r>
        <w:t xml:space="preserve">96. </w:t>
      </w:r>
      <w:r>
        <w:tab/>
        <w:t xml:space="preserve">K. M. Schulz, </w:t>
      </w:r>
      <w:r>
        <w:rPr>
          <w:i/>
          <w:iCs/>
        </w:rPr>
        <w:t>et al.</w:t>
      </w:r>
      <w:r>
        <w:t xml:space="preserve">, Gonadal hormones masculinize and defeminize reproductive behaviors during puberty in the male Syrian hamster. </w:t>
      </w:r>
      <w:r>
        <w:rPr>
          <w:i/>
          <w:iCs/>
        </w:rPr>
        <w:t>Hormones and Behavior</w:t>
      </w:r>
      <w:r>
        <w:t xml:space="preserve"> </w:t>
      </w:r>
      <w:r>
        <w:rPr>
          <w:b/>
          <w:bCs/>
        </w:rPr>
        <w:t>45</w:t>
      </w:r>
      <w:r>
        <w:t>, 242–249 (2004).</w:t>
      </w:r>
    </w:p>
    <w:p w14:paraId="6C97275E" w14:textId="77777777" w:rsidR="00501F3A" w:rsidRDefault="00501F3A" w:rsidP="00501F3A">
      <w:pPr>
        <w:pStyle w:val="Bibliography"/>
      </w:pPr>
      <w:r>
        <w:t xml:space="preserve">97. </w:t>
      </w:r>
      <w:r>
        <w:tab/>
        <w:t xml:space="preserve">S. A. Laredo, </w:t>
      </w:r>
      <w:r>
        <w:rPr>
          <w:i/>
          <w:iCs/>
        </w:rPr>
        <w:t>et al.</w:t>
      </w:r>
      <w:r>
        <w:t xml:space="preserve">, Effects of defeat stress on behavioral flexibility in males and females: Modulation by the mu-opioid receptor. </w:t>
      </w:r>
      <w:r>
        <w:rPr>
          <w:i/>
          <w:iCs/>
        </w:rPr>
        <w:t>European Journal of Neuroscience</w:t>
      </w:r>
      <w:r>
        <w:t xml:space="preserve"> </w:t>
      </w:r>
      <w:r>
        <w:rPr>
          <w:b/>
          <w:bCs/>
        </w:rPr>
        <w:t>41</w:t>
      </w:r>
      <w:r>
        <w:t xml:space="preserve"> (2015).</w:t>
      </w:r>
    </w:p>
    <w:p w14:paraId="7DCE3176" w14:textId="77777777" w:rsidR="00501F3A" w:rsidRDefault="00501F3A" w:rsidP="00501F3A">
      <w:pPr>
        <w:pStyle w:val="Bibliography"/>
      </w:pPr>
      <w:r>
        <w:t xml:space="preserve">98. </w:t>
      </w:r>
      <w:r>
        <w:tab/>
        <w:t xml:space="preserve">K. L. Huhman, </w:t>
      </w:r>
      <w:r>
        <w:rPr>
          <w:i/>
          <w:iCs/>
        </w:rPr>
        <w:t>et al.</w:t>
      </w:r>
      <w:r>
        <w:t xml:space="preserve">, Conditioned defeat in male and female Syrian hamsters. </w:t>
      </w:r>
      <w:r>
        <w:rPr>
          <w:i/>
          <w:iCs/>
        </w:rPr>
        <w:t>Horm Behav</w:t>
      </w:r>
      <w:r>
        <w:t xml:space="preserve"> </w:t>
      </w:r>
      <w:r>
        <w:rPr>
          <w:b/>
          <w:bCs/>
        </w:rPr>
        <w:t>44</w:t>
      </w:r>
      <w:r>
        <w:t>, 293–299 (2003).</w:t>
      </w:r>
    </w:p>
    <w:p w14:paraId="6A4C86DB" w14:textId="77777777" w:rsidR="00501F3A" w:rsidRDefault="00501F3A" w:rsidP="00501F3A">
      <w:pPr>
        <w:pStyle w:val="Bibliography"/>
      </w:pPr>
      <w:r>
        <w:t xml:space="preserve">99. </w:t>
      </w:r>
      <w:r>
        <w:tab/>
        <w:t xml:space="preserve">H. H. Collins, Studies of the pelage phases and of the nature of color variations in mice of the genus Peromyscus. </w:t>
      </w:r>
      <w:r>
        <w:rPr>
          <w:i/>
          <w:iCs/>
        </w:rPr>
        <w:t>Journal of Experimental Zoology</w:t>
      </w:r>
      <w:r>
        <w:t xml:space="preserve"> </w:t>
      </w:r>
      <w:r>
        <w:rPr>
          <w:b/>
          <w:bCs/>
        </w:rPr>
        <w:t>38</w:t>
      </w:r>
      <w:r>
        <w:t>, 45–107 (1923).</w:t>
      </w:r>
    </w:p>
    <w:p w14:paraId="14DE7DAA" w14:textId="77777777" w:rsidR="00501F3A" w:rsidRDefault="00501F3A" w:rsidP="00501F3A">
      <w:pPr>
        <w:pStyle w:val="Bibliography"/>
      </w:pPr>
      <w:r>
        <w:t xml:space="preserve">100. </w:t>
      </w:r>
      <w:r>
        <w:tab/>
        <w:t xml:space="preserve">S. Ounpraseuth, </w:t>
      </w:r>
      <w:r>
        <w:rPr>
          <w:i/>
          <w:iCs/>
        </w:rPr>
        <w:t>et al.</w:t>
      </w:r>
      <w:r>
        <w:t xml:space="preserve">, A Method to Quantify Mouse Coat-Color Proportions. </w:t>
      </w:r>
      <w:r>
        <w:rPr>
          <w:i/>
          <w:iCs/>
        </w:rPr>
        <w:t>PLOS ONE</w:t>
      </w:r>
      <w:r>
        <w:t xml:space="preserve"> </w:t>
      </w:r>
      <w:r>
        <w:rPr>
          <w:b/>
          <w:bCs/>
        </w:rPr>
        <w:t>4</w:t>
      </w:r>
      <w:r>
        <w:t>, e5414 (2009).</w:t>
      </w:r>
    </w:p>
    <w:p w14:paraId="3687B122" w14:textId="77777777" w:rsidR="00501F3A" w:rsidRDefault="00501F3A" w:rsidP="00501F3A">
      <w:pPr>
        <w:pStyle w:val="Bibliography"/>
      </w:pPr>
      <w:r>
        <w:t xml:space="preserve">101. </w:t>
      </w:r>
      <w:r>
        <w:tab/>
        <w:t xml:space="preserve">K. L. Murphy, M. G. Baxter, Long-Term Effects of Neonatal Single or Multiple Isoflurane Exposures on Spatial Memory in Rats. </w:t>
      </w:r>
      <w:r>
        <w:rPr>
          <w:i/>
          <w:iCs/>
        </w:rPr>
        <w:t>Front. Neurol.</w:t>
      </w:r>
      <w:r>
        <w:t xml:space="preserve"> </w:t>
      </w:r>
      <w:r>
        <w:rPr>
          <w:b/>
          <w:bCs/>
        </w:rPr>
        <w:t>4</w:t>
      </w:r>
      <w:r>
        <w:t xml:space="preserve"> (2013).</w:t>
      </w:r>
    </w:p>
    <w:p w14:paraId="0EA33F0B" w14:textId="77777777" w:rsidR="00501F3A" w:rsidRDefault="00501F3A" w:rsidP="00501F3A">
      <w:pPr>
        <w:pStyle w:val="Bibliography"/>
      </w:pPr>
      <w:r>
        <w:lastRenderedPageBreak/>
        <w:t xml:space="preserve">102. </w:t>
      </w:r>
      <w:r>
        <w:tab/>
        <w:t xml:space="preserve">J. Lauer, </w:t>
      </w:r>
      <w:r>
        <w:rPr>
          <w:i/>
          <w:iCs/>
        </w:rPr>
        <w:t>et al.</w:t>
      </w:r>
      <w:r>
        <w:t>, “Multi-animal pose estimation and tracking with DeepLabCut” (Animal Behavior and Cognition, 2021) https:/doi.org/10.1101/2021.04.30.442096 (March 9, 2023).</w:t>
      </w:r>
    </w:p>
    <w:p w14:paraId="27B64CBC" w14:textId="77777777" w:rsidR="00501F3A" w:rsidRDefault="00501F3A" w:rsidP="00501F3A">
      <w:pPr>
        <w:pStyle w:val="Bibliography"/>
      </w:pPr>
      <w:r>
        <w:t xml:space="preserve">103. </w:t>
      </w:r>
      <w:r>
        <w:tab/>
        <w:t xml:space="preserve">T. Nath, </w:t>
      </w:r>
      <w:r>
        <w:rPr>
          <w:i/>
          <w:iCs/>
        </w:rPr>
        <w:t>et al.</w:t>
      </w:r>
      <w:r>
        <w:t xml:space="preserve">, Using DeepLabCut for 3D markerless pose estimation across species and behaviors. </w:t>
      </w:r>
      <w:r>
        <w:rPr>
          <w:i/>
          <w:iCs/>
        </w:rPr>
        <w:t>Nat Protoc</w:t>
      </w:r>
      <w:r>
        <w:t xml:space="preserve"> </w:t>
      </w:r>
      <w:r>
        <w:rPr>
          <w:b/>
          <w:bCs/>
        </w:rPr>
        <w:t>14</w:t>
      </w:r>
      <w:r>
        <w:t>, 2152–2176 (2019).</w:t>
      </w:r>
    </w:p>
    <w:p w14:paraId="17AA8391" w14:textId="77777777" w:rsidR="00501F3A" w:rsidRDefault="00501F3A" w:rsidP="00501F3A">
      <w:pPr>
        <w:pStyle w:val="Bibliography"/>
      </w:pPr>
      <w:r>
        <w:t xml:space="preserve">104. </w:t>
      </w:r>
      <w:r>
        <w:tab/>
        <w:t xml:space="preserve">A. Mathis, </w:t>
      </w:r>
      <w:r>
        <w:rPr>
          <w:i/>
          <w:iCs/>
        </w:rPr>
        <w:t>et al.</w:t>
      </w:r>
      <w:r>
        <w:t xml:space="preserve">, DeepLabCut: markerless pose estimation of user-defined body parts with deep learning. </w:t>
      </w:r>
      <w:r>
        <w:rPr>
          <w:i/>
          <w:iCs/>
        </w:rPr>
        <w:t>Nat Neurosci</w:t>
      </w:r>
      <w:r>
        <w:t xml:space="preserve"> </w:t>
      </w:r>
      <w:r>
        <w:rPr>
          <w:b/>
          <w:bCs/>
        </w:rPr>
        <w:t>21</w:t>
      </w:r>
      <w:r>
        <w:t>, 1281–1289 (2018).</w:t>
      </w:r>
    </w:p>
    <w:p w14:paraId="03861F28" w14:textId="77777777" w:rsidR="00501F3A" w:rsidRDefault="00501F3A" w:rsidP="00501F3A">
      <w:pPr>
        <w:pStyle w:val="Bibliography"/>
      </w:pPr>
      <w:r>
        <w:t xml:space="preserve">105. </w:t>
      </w:r>
      <w:r>
        <w:tab/>
        <w:t xml:space="preserve">B. C. Trainor, I. M. Bird, N. A. Alday, B. A. Schlinger, C. A. Marler, Variation in Aromatase Activity in the Medial Preoptic Area and Plasma Progesterone Is Associated with the Onset of Paternal Behavior. </w:t>
      </w:r>
      <w:r>
        <w:rPr>
          <w:i/>
          <w:iCs/>
        </w:rPr>
        <w:t>NEN</w:t>
      </w:r>
      <w:r>
        <w:t xml:space="preserve"> </w:t>
      </w:r>
      <w:r>
        <w:rPr>
          <w:b/>
          <w:bCs/>
        </w:rPr>
        <w:t>78</w:t>
      </w:r>
      <w:r>
        <w:t>, 36–44 (2003).</w:t>
      </w:r>
    </w:p>
    <w:p w14:paraId="4B65EDF7" w14:textId="77777777" w:rsidR="00501F3A" w:rsidRDefault="00501F3A" w:rsidP="00501F3A">
      <w:pPr>
        <w:pStyle w:val="Bibliography"/>
      </w:pPr>
      <w:r>
        <w:t xml:space="preserve">106. </w:t>
      </w:r>
      <w:r>
        <w:tab/>
        <w:t xml:space="preserve">V. A. Minie, </w:t>
      </w:r>
      <w:r>
        <w:rPr>
          <w:i/>
          <w:iCs/>
        </w:rPr>
        <w:t>et al.</w:t>
      </w:r>
      <w:r>
        <w:t xml:space="preserve">, Enriched laboratory housing increases sensitivity to social stress in female California mice (Peromyscus californicus). </w:t>
      </w:r>
      <w:r>
        <w:rPr>
          <w:i/>
          <w:iCs/>
        </w:rPr>
        <w:t>Applied Animal Behaviour Science</w:t>
      </w:r>
      <w:r>
        <w:t xml:space="preserve"> </w:t>
      </w:r>
      <w:r>
        <w:rPr>
          <w:b/>
          <w:bCs/>
        </w:rPr>
        <w:t>241</w:t>
      </w:r>
      <w:r>
        <w:t>, 105381 (2021).</w:t>
      </w:r>
    </w:p>
    <w:p w14:paraId="1A1A5D1D" w14:textId="2D2A2E58" w:rsidR="005C6E1D" w:rsidRDefault="00C3442F" w:rsidP="00BD1FB4">
      <w:pPr>
        <w:pBdr>
          <w:top w:val="nil"/>
          <w:left w:val="nil"/>
          <w:bottom w:val="nil"/>
          <w:right w:val="nil"/>
          <w:between w:val="nil"/>
        </w:pBdr>
        <w:contextualSpacing/>
        <w:rPr>
          <w:rFonts w:ascii="Arial" w:hAnsi="Arial" w:cs="Arial"/>
          <w:color w:val="000000"/>
          <w:sz w:val="20"/>
          <w:szCs w:val="20"/>
        </w:rPr>
      </w:pPr>
      <w:r>
        <w:rPr>
          <w:rFonts w:ascii="Arial" w:hAnsi="Arial" w:cs="Arial"/>
          <w:color w:val="000000"/>
          <w:sz w:val="20"/>
          <w:szCs w:val="20"/>
        </w:rPr>
        <w:fldChar w:fldCharType="end"/>
      </w:r>
    </w:p>
    <w:p w14:paraId="4640BCD0" w14:textId="77777777" w:rsidR="005C6E1D" w:rsidRDefault="005C6E1D">
      <w:pPr>
        <w:rPr>
          <w:rFonts w:ascii="Arial" w:hAnsi="Arial" w:cs="Arial"/>
          <w:color w:val="000000"/>
          <w:sz w:val="20"/>
          <w:szCs w:val="20"/>
        </w:rPr>
      </w:pPr>
      <w:r>
        <w:rPr>
          <w:rFonts w:ascii="Arial" w:hAnsi="Arial" w:cs="Arial"/>
          <w:color w:val="000000"/>
          <w:sz w:val="20"/>
          <w:szCs w:val="20"/>
        </w:rPr>
        <w:br w:type="page"/>
      </w:r>
    </w:p>
    <w:p w14:paraId="74604B00" w14:textId="77777777" w:rsidR="00E6133D" w:rsidRPr="00483D1D" w:rsidRDefault="00E6133D" w:rsidP="00BD1FB4">
      <w:pPr>
        <w:pBdr>
          <w:top w:val="nil"/>
          <w:left w:val="nil"/>
          <w:bottom w:val="nil"/>
          <w:right w:val="nil"/>
          <w:between w:val="nil"/>
        </w:pBdr>
        <w:contextualSpacing/>
        <w:rPr>
          <w:rFonts w:ascii="Arial" w:hAnsi="Arial" w:cs="Arial"/>
          <w:color w:val="333333"/>
          <w:sz w:val="20"/>
          <w:szCs w:val="20"/>
        </w:rPr>
      </w:pPr>
    </w:p>
    <w:p w14:paraId="5D1CD93E" w14:textId="77777777" w:rsidR="00980C22" w:rsidRPr="00980C22" w:rsidRDefault="00980C22" w:rsidP="00BD1FB4">
      <w:pPr>
        <w:keepNext/>
        <w:pBdr>
          <w:top w:val="nil"/>
          <w:left w:val="nil"/>
          <w:bottom w:val="nil"/>
          <w:right w:val="nil"/>
          <w:between w:val="nil"/>
        </w:pBdr>
        <w:spacing w:before="240" w:after="60"/>
        <w:contextualSpacing/>
        <w:jc w:val="both"/>
        <w:rPr>
          <w:rFonts w:ascii="Arial" w:hAnsi="Arial" w:cs="Arial"/>
          <w:b/>
          <w:color w:val="000000"/>
          <w:sz w:val="20"/>
          <w:szCs w:val="20"/>
        </w:rPr>
      </w:pPr>
      <w:r>
        <w:rPr>
          <w:rFonts w:ascii="Arial" w:hAnsi="Arial" w:cs="Arial"/>
          <w:b/>
          <w:color w:val="000000"/>
          <w:sz w:val="20"/>
          <w:szCs w:val="20"/>
        </w:rPr>
        <w:t>Figures and Tables</w:t>
      </w:r>
    </w:p>
    <w:p w14:paraId="289D0221" w14:textId="77777777" w:rsidR="00E6133D" w:rsidRDefault="00E6133D" w:rsidP="00BD1FB4">
      <w:pPr>
        <w:keepNext/>
        <w:pBdr>
          <w:top w:val="nil"/>
          <w:left w:val="nil"/>
          <w:bottom w:val="nil"/>
          <w:right w:val="nil"/>
          <w:between w:val="nil"/>
        </w:pBdr>
        <w:spacing w:before="240" w:after="60"/>
        <w:contextualSpacing/>
        <w:rPr>
          <w:rFonts w:ascii="Arial" w:hAnsi="Arial" w:cs="Arial"/>
          <w:b/>
          <w:color w:val="000000"/>
          <w:sz w:val="20"/>
          <w:szCs w:val="20"/>
        </w:rPr>
      </w:pPr>
    </w:p>
    <w:p w14:paraId="6E0EDE01" w14:textId="38973ED1" w:rsidR="00FF065A" w:rsidRPr="00F649EE" w:rsidRDefault="00156D05" w:rsidP="00BD1FB4">
      <w:pPr>
        <w:keepNext/>
        <w:pBdr>
          <w:top w:val="nil"/>
          <w:left w:val="nil"/>
          <w:bottom w:val="nil"/>
          <w:right w:val="nil"/>
          <w:between w:val="nil"/>
        </w:pBdr>
        <w:spacing w:before="240" w:after="60"/>
        <w:contextualSpacing/>
        <w:rPr>
          <w:rFonts w:ascii="Arial" w:hAnsi="Arial" w:cs="Arial"/>
          <w:b/>
          <w:color w:val="000000"/>
          <w:sz w:val="20"/>
          <w:szCs w:val="20"/>
        </w:rPr>
      </w:pPr>
      <w:r>
        <w:rPr>
          <w:rFonts w:ascii="Arial" w:hAnsi="Arial" w:cs="Arial"/>
          <w:b/>
          <w:noProof/>
          <w:color w:val="000000"/>
          <w:sz w:val="20"/>
          <w:szCs w:val="20"/>
        </w:rPr>
        <w:drawing>
          <wp:inline distT="0" distB="0" distL="0" distR="0" wp14:anchorId="1D51A7E0" wp14:editId="7E1D3F01">
            <wp:extent cx="5486400" cy="5178425"/>
            <wp:effectExtent l="0" t="0" r="0" b="3175"/>
            <wp:docPr id="1065262388"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262388" name="Picture 1" descr="A screenshot of a video gam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5178425"/>
                    </a:xfrm>
                    <a:prstGeom prst="rect">
                      <a:avLst/>
                    </a:prstGeom>
                  </pic:spPr>
                </pic:pic>
              </a:graphicData>
            </a:graphic>
          </wp:inline>
        </w:drawing>
      </w:r>
    </w:p>
    <w:p w14:paraId="32B9A116" w14:textId="2B01462B" w:rsidR="00980C22" w:rsidRPr="00F649EE" w:rsidRDefault="00F67215" w:rsidP="00491357">
      <w:pPr>
        <w:keepNext/>
        <w:suppressLineNumbers/>
        <w:pBdr>
          <w:top w:val="nil"/>
          <w:left w:val="nil"/>
          <w:bottom w:val="nil"/>
          <w:right w:val="nil"/>
          <w:between w:val="nil"/>
        </w:pBdr>
        <w:spacing w:before="240" w:after="60"/>
        <w:contextualSpacing/>
        <w:rPr>
          <w:rFonts w:ascii="Arial" w:hAnsi="Arial" w:cs="Arial"/>
          <w:color w:val="000000"/>
          <w:sz w:val="20"/>
          <w:szCs w:val="20"/>
        </w:rPr>
      </w:pPr>
      <w:r w:rsidRPr="43608D62">
        <w:rPr>
          <w:b/>
          <w:bCs/>
        </w:rPr>
        <w:t xml:space="preserve">Figure 1: </w:t>
      </w:r>
      <w:r w:rsidR="21F5D369" w:rsidRPr="43608D62">
        <w:rPr>
          <w:b/>
          <w:bCs/>
        </w:rPr>
        <w:t>P</w:t>
      </w:r>
      <w:r w:rsidRPr="43608D62">
        <w:rPr>
          <w:b/>
          <w:bCs/>
        </w:rPr>
        <w:t>uberty in California mice is a period of sexual differentiation of behavioral stress responses</w:t>
      </w:r>
      <w:r w:rsidRPr="43608D62">
        <w:rPr>
          <w:b/>
          <w:bCs/>
          <w:color w:val="222222"/>
        </w:rPr>
        <w:t>. A</w:t>
      </w:r>
      <w:r w:rsidRPr="43608D62">
        <w:rPr>
          <w:color w:val="222222"/>
        </w:rPr>
        <w:t xml:space="preserve">. Summary of pubertal development in California mice </w:t>
      </w:r>
      <w:r w:rsidRPr="43608D62">
        <w:rPr>
          <w:b/>
          <w:bCs/>
          <w:color w:val="222222"/>
        </w:rPr>
        <w:t xml:space="preserve">B. </w:t>
      </w:r>
      <w:r w:rsidRPr="43608D62">
        <w:rPr>
          <w:color w:val="222222"/>
        </w:rPr>
        <w:t xml:space="preserve">In </w:t>
      </w:r>
      <w:proofErr w:type="gramStart"/>
      <w:r w:rsidRPr="43608D62">
        <w:rPr>
          <w:color w:val="222222"/>
        </w:rPr>
        <w:t>males</w:t>
      </w:r>
      <w:proofErr w:type="gramEnd"/>
      <w:r w:rsidRPr="43608D62">
        <w:rPr>
          <w:color w:val="222222"/>
        </w:rPr>
        <w:t xml:space="preserve"> testosterone levels are not increased until postnatal day (PN) 90 while in females progesterone levels increase at PN70 (n=4-5 per time point)</w:t>
      </w:r>
      <w:r w:rsidRPr="43608D62">
        <w:rPr>
          <w:color w:val="000000" w:themeColor="text1"/>
        </w:rPr>
        <w:t xml:space="preserve">. </w:t>
      </w:r>
      <w:r w:rsidRPr="43608D62">
        <w:rPr>
          <w:b/>
          <w:bCs/>
          <w:color w:val="000000" w:themeColor="text1"/>
        </w:rPr>
        <w:t>C.</w:t>
      </w:r>
      <w:r w:rsidRPr="43608D62">
        <w:rPr>
          <w:color w:val="000000" w:themeColor="text1"/>
        </w:rPr>
        <w:t xml:space="preserve"> Prepubertal California mice were exposed to social defeat or control conditions after weaning and tested as juveniles at PN50. </w:t>
      </w:r>
      <w:proofErr w:type="gramStart"/>
      <w:r w:rsidRPr="43608D62">
        <w:rPr>
          <w:b/>
          <w:bCs/>
          <w:color w:val="222222"/>
        </w:rPr>
        <w:t>D,E.</w:t>
      </w:r>
      <w:proofErr w:type="gramEnd"/>
      <w:r w:rsidRPr="43608D62">
        <w:rPr>
          <w:color w:val="222222"/>
        </w:rPr>
        <w:t xml:space="preserve"> Social defeat reduced social approach and increased social vigilance in both males and females (n=6-8 per group). </w:t>
      </w:r>
      <w:r w:rsidRPr="43608D62">
        <w:rPr>
          <w:b/>
          <w:bCs/>
          <w:color w:val="222222"/>
        </w:rPr>
        <w:t>F.</w:t>
      </w:r>
      <w:r w:rsidRPr="43608D62">
        <w:rPr>
          <w:color w:val="222222"/>
        </w:rPr>
        <w:t xml:space="preserve"> Females investigated an empty cage during the acclimation phase more than males. </w:t>
      </w:r>
      <w:r w:rsidRPr="43608D62">
        <w:rPr>
          <w:b/>
          <w:bCs/>
          <w:color w:val="222222"/>
        </w:rPr>
        <w:t>G.</w:t>
      </w:r>
      <w:r w:rsidRPr="43608D62">
        <w:rPr>
          <w:color w:val="222222"/>
        </w:rPr>
        <w:t xml:space="preserve"> There were no differences in locomotor behavior in the open field phase. *, **, *** p&lt;0.05, p&lt;0.01, p&lt;0.001 vs. PN 35. </w:t>
      </w:r>
      <w:r w:rsidRPr="43608D62">
        <w:rPr>
          <w:color w:val="FF0000"/>
        </w:rPr>
        <w:t>*</w:t>
      </w:r>
      <w:r>
        <w:t xml:space="preserve">, </w:t>
      </w:r>
      <w:r w:rsidRPr="43608D62">
        <w:rPr>
          <w:color w:val="FF0000"/>
        </w:rPr>
        <w:t>**</w:t>
      </w:r>
      <w:r>
        <w:t xml:space="preserve">, </w:t>
      </w:r>
      <w:r w:rsidRPr="43608D62">
        <w:rPr>
          <w:color w:val="FF0000"/>
        </w:rPr>
        <w:t>***</w:t>
      </w:r>
      <w:r w:rsidRPr="43608D62">
        <w:rPr>
          <w:color w:val="222222"/>
        </w:rPr>
        <w:t xml:space="preserve"> p&lt;0.05, p&lt;0.01, p&lt;0.001 vs same sex control. †p &lt; 0.05 vs. males.</w:t>
      </w:r>
      <w:r w:rsidR="00AF7D8C" w:rsidRPr="43608D62">
        <w:rPr>
          <w:color w:val="222222"/>
        </w:rPr>
        <w:t xml:space="preserve"> Data available at </w:t>
      </w:r>
      <w:proofErr w:type="gramStart"/>
      <w:r w:rsidR="00AF7D8C" w:rsidRPr="43608D62">
        <w:rPr>
          <w:color w:val="222222"/>
        </w:rPr>
        <w:t>doi:10.6084/m9.figshare</w:t>
      </w:r>
      <w:proofErr w:type="gramEnd"/>
      <w:r w:rsidR="00AF7D8C" w:rsidRPr="43608D62">
        <w:rPr>
          <w:color w:val="222222"/>
        </w:rPr>
        <w:t>.23681493.</w:t>
      </w:r>
    </w:p>
    <w:p w14:paraId="0224AD56" w14:textId="72723C9A" w:rsidR="00E6133D" w:rsidRDefault="00E6133D" w:rsidP="00BD1FB4">
      <w:pPr>
        <w:pBdr>
          <w:top w:val="nil"/>
          <w:left w:val="nil"/>
          <w:bottom w:val="nil"/>
          <w:right w:val="nil"/>
          <w:between w:val="nil"/>
        </w:pBdr>
        <w:contextualSpacing/>
        <w:rPr>
          <w:rFonts w:ascii="Arial" w:hAnsi="Arial" w:cs="Arial"/>
          <w:color w:val="000000"/>
          <w:sz w:val="20"/>
          <w:szCs w:val="20"/>
        </w:rPr>
      </w:pPr>
    </w:p>
    <w:p w14:paraId="541A5DA9" w14:textId="48A2166C" w:rsidR="00156D05" w:rsidRDefault="00156D05">
      <w:pPr>
        <w:rPr>
          <w:rFonts w:ascii="Arial" w:hAnsi="Arial" w:cs="Arial"/>
          <w:color w:val="000000"/>
          <w:sz w:val="20"/>
          <w:szCs w:val="20"/>
        </w:rPr>
      </w:pPr>
      <w:r>
        <w:rPr>
          <w:rFonts w:ascii="Arial" w:hAnsi="Arial" w:cs="Arial"/>
          <w:color w:val="000000"/>
          <w:sz w:val="20"/>
          <w:szCs w:val="20"/>
        </w:rPr>
        <w:br w:type="page"/>
      </w:r>
    </w:p>
    <w:p w14:paraId="0D4319CF" w14:textId="239CE581" w:rsidR="00980C22" w:rsidRPr="00F649EE" w:rsidRDefault="00156D05" w:rsidP="00BD1FB4">
      <w:pPr>
        <w:pBdr>
          <w:top w:val="nil"/>
          <w:left w:val="nil"/>
          <w:bottom w:val="nil"/>
          <w:right w:val="nil"/>
          <w:between w:val="nil"/>
        </w:pBdr>
        <w:contextualSpacing/>
        <w:rPr>
          <w:rFonts w:ascii="Arial" w:hAnsi="Arial" w:cs="Arial"/>
          <w:color w:val="000000"/>
          <w:sz w:val="20"/>
          <w:szCs w:val="20"/>
        </w:rPr>
      </w:pPr>
      <w:r>
        <w:rPr>
          <w:rFonts w:ascii="Arial" w:hAnsi="Arial" w:cs="Arial"/>
          <w:noProof/>
          <w:color w:val="000000"/>
          <w:sz w:val="20"/>
          <w:szCs w:val="20"/>
        </w:rPr>
        <w:lastRenderedPageBreak/>
        <w:drawing>
          <wp:inline distT="0" distB="0" distL="0" distR="0" wp14:anchorId="551D38F7" wp14:editId="3C7DEAE1">
            <wp:extent cx="5486400" cy="6724015"/>
            <wp:effectExtent l="0" t="0" r="0" b="635"/>
            <wp:docPr id="1823095518" name="Picture 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095518" name="Picture 2" descr="A screenshot of a computer scree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6724015"/>
                    </a:xfrm>
                    <a:prstGeom prst="rect">
                      <a:avLst/>
                    </a:prstGeom>
                  </pic:spPr>
                </pic:pic>
              </a:graphicData>
            </a:graphic>
          </wp:inline>
        </w:drawing>
      </w:r>
    </w:p>
    <w:p w14:paraId="16A7408C" w14:textId="611F4528" w:rsidR="002E1EEC" w:rsidRDefault="00DD07E6" w:rsidP="00DD07E6">
      <w:pPr>
        <w:suppressLineNumbers/>
        <w:rPr>
          <w:rFonts w:ascii="Arial" w:hAnsi="Arial" w:cs="Arial"/>
          <w:b/>
          <w:color w:val="000000"/>
          <w:sz w:val="20"/>
          <w:szCs w:val="20"/>
        </w:rPr>
      </w:pPr>
      <w:r w:rsidRPr="00CE73B4">
        <w:rPr>
          <w:rFonts w:cstheme="minorHAnsi"/>
          <w:b/>
        </w:rPr>
        <w:t xml:space="preserve">Figure </w:t>
      </w:r>
      <w:r>
        <w:rPr>
          <w:rFonts w:cstheme="minorHAnsi"/>
          <w:b/>
        </w:rPr>
        <w:t>2</w:t>
      </w:r>
      <w:r w:rsidRPr="00CE73B4">
        <w:rPr>
          <w:rFonts w:cstheme="minorHAnsi"/>
          <w:b/>
        </w:rPr>
        <w:t xml:space="preserve">: </w:t>
      </w:r>
      <w:r>
        <w:rPr>
          <w:rFonts w:cstheme="minorHAnsi"/>
          <w:b/>
        </w:rPr>
        <w:t>Prepubertal castration increases sensitivity to social defeat in adulthood.</w:t>
      </w:r>
      <w:r>
        <w:rPr>
          <w:b/>
        </w:rPr>
        <w:t xml:space="preserve"> A. </w:t>
      </w:r>
      <w:r w:rsidRPr="00AF71BC">
        <w:rPr>
          <w:bCs/>
        </w:rPr>
        <w:t>T</w:t>
      </w:r>
      <w:r>
        <w:t>imeline of prepubertal castration and behavioral testing in adults.</w:t>
      </w:r>
      <w:r>
        <w:rPr>
          <w:b/>
        </w:rPr>
        <w:t xml:space="preserve"> </w:t>
      </w:r>
      <w:proofErr w:type="gramStart"/>
      <w:r>
        <w:rPr>
          <w:b/>
        </w:rPr>
        <w:t>B,C.</w:t>
      </w:r>
      <w:proofErr w:type="gramEnd"/>
      <w:r>
        <w:rPr>
          <w:b/>
          <w:i/>
        </w:rPr>
        <w:t xml:space="preserve"> </w:t>
      </w:r>
      <w:r>
        <w:t xml:space="preserve">Social defeat decreased social approach and increased social vigilance in castrated males but not sham or no surgery controls </w:t>
      </w:r>
      <w:bookmarkStart w:id="5" w:name="OLE_LINK3"/>
      <w:r>
        <w:t>(n=7-8 per group)</w:t>
      </w:r>
      <w:bookmarkEnd w:id="5"/>
      <w:r>
        <w:t xml:space="preserve">. </w:t>
      </w:r>
      <w:proofErr w:type="gramStart"/>
      <w:r>
        <w:rPr>
          <w:b/>
        </w:rPr>
        <w:t>D,E.</w:t>
      </w:r>
      <w:proofErr w:type="gramEnd"/>
      <w:r>
        <w:t xml:space="preserve"> No differences were observed during the acclimation of open field phase. </w:t>
      </w:r>
      <w:r>
        <w:rPr>
          <w:b/>
          <w:bCs/>
        </w:rPr>
        <w:t>F.</w:t>
      </w:r>
      <w:r>
        <w:t xml:space="preserve"> </w:t>
      </w:r>
      <w:r>
        <w:rPr>
          <w:color w:val="222222"/>
        </w:rPr>
        <w:t xml:space="preserve">Representative heatmaps for the interaction phase showing reduced time spent in the interaction zone castrated males exposed to social </w:t>
      </w:r>
      <w:r w:rsidRPr="00840FFF">
        <w:t xml:space="preserve">defeat. </w:t>
      </w:r>
      <w:r w:rsidRPr="00952050">
        <w:rPr>
          <w:color w:val="FF0000"/>
        </w:rPr>
        <w:t>**</w:t>
      </w:r>
      <w:r w:rsidRPr="00840FFF">
        <w:t xml:space="preserve">, </w:t>
      </w:r>
      <w:r w:rsidRPr="00952050">
        <w:rPr>
          <w:color w:val="FF0000"/>
        </w:rPr>
        <w:t>***</w:t>
      </w:r>
      <w:r w:rsidRPr="00840FFF">
        <w:t xml:space="preserve"> p&lt;0.0</w:t>
      </w:r>
      <w:r>
        <w:t>1</w:t>
      </w:r>
      <w:r w:rsidRPr="00840FFF">
        <w:t>, p&lt;0.001 vs control.</w:t>
      </w:r>
      <w:r w:rsidR="0037743B">
        <w:t xml:space="preserve"> </w:t>
      </w:r>
      <w:r w:rsidR="002E1EEC" w:rsidRPr="002E1EEC">
        <w:t>Data available at doi:</w:t>
      </w:r>
      <w:r w:rsidR="002E1EEC" w:rsidRPr="002E1EEC">
        <w:rPr>
          <w:b/>
          <w:bCs/>
        </w:rPr>
        <w:t xml:space="preserve"> </w:t>
      </w:r>
      <w:r w:rsidR="002E1EEC" w:rsidRPr="002E1EEC">
        <w:t>10.6084/m9.figshare.23681514.</w:t>
      </w:r>
    </w:p>
    <w:p w14:paraId="00E2C86D" w14:textId="24EA22B1" w:rsidR="00980C22" w:rsidRPr="00980C22" w:rsidRDefault="00156D05" w:rsidP="00BD1FB4">
      <w:pPr>
        <w:pBdr>
          <w:top w:val="nil"/>
          <w:left w:val="nil"/>
          <w:bottom w:val="nil"/>
          <w:right w:val="nil"/>
          <w:between w:val="nil"/>
        </w:pBdr>
        <w:contextualSpacing/>
        <w:rPr>
          <w:rFonts w:ascii="Arial" w:hAnsi="Arial" w:cs="Arial"/>
          <w:color w:val="000000"/>
          <w:sz w:val="20"/>
          <w:szCs w:val="20"/>
        </w:rPr>
      </w:pPr>
      <w:r>
        <w:rPr>
          <w:rFonts w:ascii="Arial" w:hAnsi="Arial" w:cs="Arial"/>
          <w:noProof/>
          <w:color w:val="000000"/>
          <w:sz w:val="20"/>
          <w:szCs w:val="20"/>
        </w:rPr>
        <w:lastRenderedPageBreak/>
        <w:drawing>
          <wp:inline distT="0" distB="0" distL="0" distR="0" wp14:anchorId="4541B3B2" wp14:editId="4FF92F9F">
            <wp:extent cx="4458834" cy="6400800"/>
            <wp:effectExtent l="0" t="0" r="0" b="0"/>
            <wp:docPr id="988965062" name="Picture 3"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965062" name="Picture 3" descr="A screenshot of a computer scree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61161" cy="6404141"/>
                    </a:xfrm>
                    <a:prstGeom prst="rect">
                      <a:avLst/>
                    </a:prstGeom>
                  </pic:spPr>
                </pic:pic>
              </a:graphicData>
            </a:graphic>
          </wp:inline>
        </w:drawing>
      </w:r>
    </w:p>
    <w:p w14:paraId="5CA086ED" w14:textId="0E3965BB" w:rsidR="6F997D2E" w:rsidRPr="00124D7E" w:rsidRDefault="3BC534D4" w:rsidP="00124D7E">
      <w:pPr>
        <w:keepNext/>
        <w:spacing w:before="240" w:after="60"/>
        <w:contextualSpacing/>
        <w:rPr>
          <w:rFonts w:ascii="Calibri" w:eastAsia="Calibri" w:hAnsi="Calibri" w:cs="Calibri"/>
        </w:rPr>
      </w:pPr>
      <w:r w:rsidRPr="4828ED11">
        <w:rPr>
          <w:rFonts w:ascii="Arial" w:hAnsi="Arial" w:cs="Arial"/>
          <w:b/>
          <w:bCs/>
          <w:color w:val="000000" w:themeColor="text1"/>
          <w:sz w:val="20"/>
          <w:szCs w:val="20"/>
        </w:rPr>
        <w:t>Figure 3</w:t>
      </w:r>
      <w:r w:rsidR="1D6A2D80" w:rsidRPr="4828ED11">
        <w:rPr>
          <w:rFonts w:ascii="Calibri" w:eastAsia="Calibri" w:hAnsi="Calibri" w:cs="Calibri"/>
          <w:b/>
          <w:bCs/>
        </w:rPr>
        <w:t xml:space="preserve">: Prepubertal castration increases BNST neural activity in sensitivity to social defeat in adulthood. </w:t>
      </w:r>
      <w:r w:rsidR="1D6A2D80" w:rsidRPr="4828ED11">
        <w:rPr>
          <w:rFonts w:ascii="Calibri" w:eastAsia="Calibri" w:hAnsi="Calibri" w:cs="Calibri"/>
          <w:b/>
          <w:bCs/>
          <w:color w:val="222222"/>
        </w:rPr>
        <w:t xml:space="preserve">A. </w:t>
      </w:r>
      <w:r w:rsidR="1D6A2D80" w:rsidRPr="4828ED11">
        <w:rPr>
          <w:rFonts w:ascii="Calibri" w:eastAsia="Calibri" w:hAnsi="Calibri" w:cs="Calibri"/>
          <w:color w:val="222222"/>
        </w:rPr>
        <w:t xml:space="preserve">Experimental timeline for fiber photometry observations of GCaMP6f in the ventral BNST of prepubertally castrated or sham surgery California mice. </w:t>
      </w:r>
      <w:r w:rsidR="1D6A2D80" w:rsidRPr="4828ED11">
        <w:rPr>
          <w:rFonts w:ascii="Calibri" w:eastAsia="Calibri" w:hAnsi="Calibri" w:cs="Calibri"/>
          <w:b/>
          <w:bCs/>
          <w:color w:val="222222"/>
        </w:rPr>
        <w:t>B.</w:t>
      </w:r>
      <w:r w:rsidR="1D6A2D80" w:rsidRPr="4828ED11">
        <w:rPr>
          <w:rFonts w:ascii="Calibri" w:eastAsia="Calibri" w:hAnsi="Calibri" w:cs="Calibri"/>
          <w:color w:val="222222"/>
        </w:rPr>
        <w:t xml:space="preserve"> Photomicrographs of GCaMP in BNST at low (B) and high (B’) magnification. The magenta box indicates position of the fiber. </w:t>
      </w:r>
      <w:r w:rsidR="1D6A2D80" w:rsidRPr="4828ED11">
        <w:rPr>
          <w:rFonts w:ascii="Calibri" w:eastAsia="Calibri" w:hAnsi="Calibri" w:cs="Calibri"/>
          <w:b/>
          <w:bCs/>
          <w:color w:val="222222"/>
        </w:rPr>
        <w:t>C.</w:t>
      </w:r>
      <w:r w:rsidR="1D6A2D80" w:rsidRPr="4828ED11">
        <w:rPr>
          <w:rFonts w:ascii="Calibri" w:eastAsia="Calibri" w:hAnsi="Calibri" w:cs="Calibri"/>
          <w:color w:val="222222"/>
        </w:rPr>
        <w:t xml:space="preserve"> Representative images showing </w:t>
      </w:r>
      <w:proofErr w:type="spellStart"/>
      <w:r w:rsidR="1D6A2D80" w:rsidRPr="4828ED11">
        <w:rPr>
          <w:rFonts w:ascii="Calibri" w:eastAsia="Calibri" w:hAnsi="Calibri" w:cs="Calibri"/>
          <w:color w:val="222222"/>
        </w:rPr>
        <w:t>DeepLabCut</w:t>
      </w:r>
      <w:proofErr w:type="spellEnd"/>
      <w:r w:rsidR="1D6A2D80" w:rsidRPr="4828ED11">
        <w:rPr>
          <w:rFonts w:ascii="Calibri" w:eastAsia="Calibri" w:hAnsi="Calibri" w:cs="Calibri"/>
          <w:color w:val="222222"/>
        </w:rPr>
        <w:t xml:space="preserve"> tracking of mice in proximate and distant conditions. </w:t>
      </w:r>
      <w:r w:rsidR="1D6A2D80" w:rsidRPr="4828ED11">
        <w:rPr>
          <w:rFonts w:ascii="Calibri" w:eastAsia="Calibri" w:hAnsi="Calibri" w:cs="Calibri"/>
          <w:b/>
          <w:bCs/>
          <w:color w:val="222222"/>
        </w:rPr>
        <w:t xml:space="preserve">D. </w:t>
      </w:r>
      <w:proofErr w:type="spellStart"/>
      <w:r w:rsidR="1D6A2D80" w:rsidRPr="4828ED11">
        <w:rPr>
          <w:rFonts w:ascii="Calibri" w:eastAsia="Calibri" w:hAnsi="Calibri" w:cs="Calibri"/>
          <w:color w:val="222222"/>
        </w:rPr>
        <w:t>DeepLabCut</w:t>
      </w:r>
      <w:proofErr w:type="spellEnd"/>
      <w:r w:rsidR="1D6A2D80" w:rsidRPr="4828ED11">
        <w:rPr>
          <w:rFonts w:ascii="Calibri" w:eastAsia="Calibri" w:hAnsi="Calibri" w:cs="Calibri"/>
          <w:color w:val="222222"/>
        </w:rPr>
        <w:t xml:space="preserve"> tracking of body midpoint and nose of the focal mouse was used to determine the orientation of the focal mouse to the target mouse nose (green triangle). GCaMP6f signals were significantly stronger when the focal mouse was within 8 cm of the   </w:t>
      </w:r>
      <w:r w:rsidR="1D6A2D80" w:rsidRPr="4828ED11">
        <w:rPr>
          <w:rFonts w:ascii="Calibri" w:eastAsia="Calibri" w:hAnsi="Calibri" w:cs="Calibri"/>
        </w:rPr>
        <w:t xml:space="preserve"> target mouse but only when the target mouse was in central vision (0°≥40°) or peripheral vision </w:t>
      </w:r>
      <w:r w:rsidR="1D6A2D80" w:rsidRPr="4828ED11">
        <w:rPr>
          <w:rFonts w:ascii="Calibri" w:eastAsia="Calibri" w:hAnsi="Calibri" w:cs="Calibri"/>
        </w:rPr>
        <w:lastRenderedPageBreak/>
        <w:t xml:space="preserve">(40°≥100°). </w:t>
      </w:r>
      <w:r w:rsidR="1D6A2D80" w:rsidRPr="4828ED11">
        <w:rPr>
          <w:rFonts w:ascii="Calibri" w:eastAsia="Calibri" w:hAnsi="Calibri" w:cs="Calibri"/>
          <w:b/>
          <w:bCs/>
        </w:rPr>
        <w:t xml:space="preserve">E. </w:t>
      </w:r>
      <w:r w:rsidR="1D6A2D80" w:rsidRPr="4828ED11">
        <w:rPr>
          <w:rFonts w:ascii="Calibri" w:eastAsia="Calibri" w:hAnsi="Calibri" w:cs="Calibri"/>
        </w:rPr>
        <w:t xml:space="preserve">Nose-to-nose sniffing with a </w:t>
      </w:r>
      <w:r w:rsidR="003928DA">
        <w:rPr>
          <w:rFonts w:ascii="Calibri" w:eastAsia="Calibri" w:hAnsi="Calibri" w:cs="Calibri"/>
        </w:rPr>
        <w:t>naive</w:t>
      </w:r>
      <w:r w:rsidR="1D6A2D80" w:rsidRPr="4828ED11">
        <w:rPr>
          <w:rFonts w:ascii="Calibri" w:eastAsia="Calibri" w:hAnsi="Calibri" w:cs="Calibri"/>
        </w:rPr>
        <w:t xml:space="preserve"> target mouse induced a delayed increase in ΔF/F in castrated but not sham males. In contrast nose-to-nose sniffing with an aggress</w:t>
      </w:r>
      <w:r w:rsidR="004C62A5">
        <w:rPr>
          <w:rFonts w:ascii="Calibri" w:eastAsia="Calibri" w:hAnsi="Calibri" w:cs="Calibri"/>
        </w:rPr>
        <w:t>or</w:t>
      </w:r>
      <w:r w:rsidR="1D6A2D80" w:rsidRPr="4828ED11">
        <w:rPr>
          <w:rFonts w:ascii="Calibri" w:eastAsia="Calibri" w:hAnsi="Calibri" w:cs="Calibri"/>
        </w:rPr>
        <w:t xml:space="preserve"> target mouse increased ΔF/F in both sham and castrated males. </w:t>
      </w:r>
      <w:r w:rsidR="1D6A2D80" w:rsidRPr="4828ED11">
        <w:rPr>
          <w:rFonts w:ascii="Calibri" w:eastAsia="Calibri" w:hAnsi="Calibri" w:cs="Calibri"/>
          <w:b/>
          <w:bCs/>
        </w:rPr>
        <w:t>F.</w:t>
      </w:r>
      <w:r w:rsidR="1D6A2D80" w:rsidRPr="4828ED11">
        <w:rPr>
          <w:rFonts w:ascii="Calibri" w:eastAsia="Calibri" w:hAnsi="Calibri" w:cs="Calibri"/>
        </w:rPr>
        <w:t xml:space="preserve"> There were no changes in ΔF/F following bouts of freezing. </w:t>
      </w:r>
      <w:r w:rsidR="1D6A2D80" w:rsidRPr="4828ED11">
        <w:rPr>
          <w:rFonts w:ascii="Calibri" w:eastAsia="Calibri" w:hAnsi="Calibri" w:cs="Calibri"/>
          <w:b/>
          <w:bCs/>
        </w:rPr>
        <w:t xml:space="preserve">G. </w:t>
      </w:r>
      <w:r w:rsidR="1D6A2D80" w:rsidRPr="4828ED11">
        <w:rPr>
          <w:rFonts w:ascii="Calibri" w:eastAsia="Calibri" w:hAnsi="Calibri" w:cs="Calibri"/>
        </w:rPr>
        <w:t xml:space="preserve">Anogenital sniffing of </w:t>
      </w:r>
      <w:r w:rsidR="003928DA">
        <w:rPr>
          <w:rFonts w:ascii="Calibri" w:eastAsia="Calibri" w:hAnsi="Calibri" w:cs="Calibri"/>
        </w:rPr>
        <w:t>naive</w:t>
      </w:r>
      <w:r w:rsidR="1D6A2D80" w:rsidRPr="4828ED11">
        <w:rPr>
          <w:rFonts w:ascii="Calibri" w:eastAsia="Calibri" w:hAnsi="Calibri" w:cs="Calibri"/>
        </w:rPr>
        <w:t xml:space="preserve"> target mice increased ΔF/F in castrated but not sham males. </w:t>
      </w:r>
      <w:r w:rsidR="1D6A2D80" w:rsidRPr="4828ED11">
        <w:rPr>
          <w:rFonts w:ascii="Calibri" w:eastAsia="Calibri" w:hAnsi="Calibri" w:cs="Calibri"/>
          <w:b/>
          <w:bCs/>
        </w:rPr>
        <w:t>H.</w:t>
      </w:r>
      <w:r w:rsidR="1D6A2D80" w:rsidRPr="4828ED11">
        <w:rPr>
          <w:rFonts w:ascii="Calibri" w:eastAsia="Calibri" w:hAnsi="Calibri" w:cs="Calibri"/>
        </w:rPr>
        <w:t xml:space="preserve"> When castrated males were attacked by aggress</w:t>
      </w:r>
      <w:r w:rsidR="003D21F7">
        <w:rPr>
          <w:rFonts w:ascii="Calibri" w:eastAsia="Calibri" w:hAnsi="Calibri" w:cs="Calibri"/>
        </w:rPr>
        <w:t>or</w:t>
      </w:r>
      <w:r w:rsidR="1D6A2D80" w:rsidRPr="4828ED11">
        <w:rPr>
          <w:rFonts w:ascii="Calibri" w:eastAsia="Calibri" w:hAnsi="Calibri" w:cs="Calibri"/>
        </w:rPr>
        <w:t xml:space="preserve"> target mice, increased ΔF/F was observed. Sham males were not attacked enough for analysis. * p&lt; 0.05, **p&lt;0.01 vs sham. *** p&lt;0.001 vs proximate, †p&lt;0.05 vs. baseline. ac= anterior commissu</w:t>
      </w:r>
      <w:r w:rsidR="1D6A2D80" w:rsidRPr="00124D7E">
        <w:rPr>
          <w:rFonts w:ascii="Calibri" w:eastAsia="Calibri" w:hAnsi="Calibri" w:cs="Calibri"/>
        </w:rPr>
        <w:t>re.</w:t>
      </w:r>
      <w:r w:rsidR="00876060" w:rsidRPr="00124D7E">
        <w:rPr>
          <w:rFonts w:ascii="Calibri" w:eastAsia="Calibri" w:hAnsi="Calibri" w:cs="Calibri"/>
        </w:rPr>
        <w:t xml:space="preserve"> </w:t>
      </w:r>
      <w:r w:rsidR="00876060" w:rsidRPr="00124D7E">
        <w:t xml:space="preserve">Data available at </w:t>
      </w:r>
      <w:r w:rsidR="00DD0AD9" w:rsidRPr="00124D7E">
        <w:t>doi:</w:t>
      </w:r>
      <w:r w:rsidR="00DD0AD9" w:rsidRPr="00124D7E">
        <w:rPr>
          <w:b/>
          <w:bCs/>
        </w:rPr>
        <w:t xml:space="preserve"> </w:t>
      </w:r>
      <w:r w:rsidR="00DD0AD9" w:rsidRPr="00124D7E">
        <w:t>10.6084/m9.figshare.236</w:t>
      </w:r>
      <w:r w:rsidR="00124D7E" w:rsidRPr="00124D7E">
        <w:t>64543.</w:t>
      </w:r>
      <w:r w:rsidR="6F997D2E">
        <w:br w:type="page"/>
      </w:r>
    </w:p>
    <w:p w14:paraId="33576084" w14:textId="6E9700B2" w:rsidR="47254B5F" w:rsidRDefault="00156D05" w:rsidP="18D71323">
      <w:pPr>
        <w:pBdr>
          <w:top w:val="nil"/>
          <w:left w:val="nil"/>
          <w:bottom w:val="nil"/>
          <w:right w:val="nil"/>
          <w:between w:val="nil"/>
        </w:pBdr>
        <w:contextualSpacing/>
      </w:pPr>
      <w:r>
        <w:rPr>
          <w:noProof/>
        </w:rPr>
        <w:lastRenderedPageBreak/>
        <w:drawing>
          <wp:anchor distT="0" distB="0" distL="114300" distR="114300" simplePos="0" relativeHeight="251659264" behindDoc="0" locked="0" layoutInCell="1" allowOverlap="1" wp14:anchorId="320294F7" wp14:editId="01476FEB">
            <wp:simplePos x="0" y="0"/>
            <wp:positionH relativeFrom="column">
              <wp:posOffset>0</wp:posOffset>
            </wp:positionH>
            <wp:positionV relativeFrom="paragraph">
              <wp:posOffset>1270</wp:posOffset>
            </wp:positionV>
            <wp:extent cx="3914205" cy="6619875"/>
            <wp:effectExtent l="0" t="0" r="0" b="0"/>
            <wp:wrapSquare wrapText="bothSides"/>
            <wp:docPr id="1742257023" name="Picture 4"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257023" name="Picture 4" descr="A screenshot of a computer scree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14205" cy="6619875"/>
                    </a:xfrm>
                    <a:prstGeom prst="rect">
                      <a:avLst/>
                    </a:prstGeom>
                  </pic:spPr>
                </pic:pic>
              </a:graphicData>
            </a:graphic>
            <wp14:sizeRelH relativeFrom="margin">
              <wp14:pctWidth>0</wp14:pctWidth>
            </wp14:sizeRelH>
            <wp14:sizeRelV relativeFrom="margin">
              <wp14:pctHeight>0</wp14:pctHeight>
            </wp14:sizeRelV>
          </wp:anchor>
        </w:drawing>
      </w:r>
    </w:p>
    <w:p w14:paraId="615D8097" w14:textId="6D391FBD" w:rsidR="00980C22" w:rsidRPr="00C5424D" w:rsidRDefault="597DB68B" w:rsidP="00C5424D">
      <w:pPr>
        <w:contextualSpacing/>
        <w:rPr>
          <w:rFonts w:ascii="Calibri" w:eastAsia="Calibri" w:hAnsi="Calibri" w:cs="Calibri"/>
          <w:sz w:val="24"/>
          <w:szCs w:val="24"/>
        </w:rPr>
      </w:pPr>
      <w:r w:rsidRPr="18D71323">
        <w:rPr>
          <w:b/>
          <w:bCs/>
        </w:rPr>
        <w:t xml:space="preserve">Figure 4: </w:t>
      </w:r>
      <w:r w:rsidR="5614AE8F" w:rsidRPr="18D71323">
        <w:rPr>
          <w:b/>
          <w:bCs/>
        </w:rPr>
        <w:t>Exposure to aggressor target increases BNST activity in pre- and post-stress intact</w:t>
      </w:r>
      <w:r w:rsidR="651169E1" w:rsidRPr="18D71323">
        <w:rPr>
          <w:b/>
          <w:bCs/>
        </w:rPr>
        <w:t xml:space="preserve"> males</w:t>
      </w:r>
      <w:r w:rsidRPr="18D71323">
        <w:rPr>
          <w:b/>
          <w:bCs/>
        </w:rPr>
        <w:t xml:space="preserve">. A. </w:t>
      </w:r>
      <w:r w:rsidRPr="18D71323">
        <w:t xml:space="preserve">Timeline of </w:t>
      </w:r>
      <w:r w:rsidR="1AE60837" w:rsidRPr="18D71323">
        <w:t>surgery</w:t>
      </w:r>
      <w:r w:rsidRPr="18D71323">
        <w:t xml:space="preserve"> and behavioral testing in adults.</w:t>
      </w:r>
      <w:r w:rsidRPr="18D71323">
        <w:rPr>
          <w:b/>
          <w:bCs/>
        </w:rPr>
        <w:t xml:space="preserve"> B</w:t>
      </w:r>
      <w:r w:rsidR="0F3E71B4" w:rsidRPr="18D71323">
        <w:rPr>
          <w:b/>
          <w:bCs/>
        </w:rPr>
        <w:t>.</w:t>
      </w:r>
      <w:r w:rsidR="3A60E943" w:rsidRPr="18D71323">
        <w:rPr>
          <w:rFonts w:ascii="Calibri" w:eastAsia="Calibri" w:hAnsi="Calibri" w:cs="Calibri"/>
          <w:color w:val="222222"/>
        </w:rPr>
        <w:t xml:space="preserve"> </w:t>
      </w:r>
      <w:proofErr w:type="spellStart"/>
      <w:r w:rsidR="3A60E943" w:rsidRPr="18D71323">
        <w:rPr>
          <w:rFonts w:ascii="Calibri" w:eastAsia="Calibri" w:hAnsi="Calibri" w:cs="Calibri"/>
          <w:color w:val="222222"/>
        </w:rPr>
        <w:t>DeepLabCut</w:t>
      </w:r>
      <w:proofErr w:type="spellEnd"/>
      <w:r w:rsidR="3A60E943" w:rsidRPr="18D71323">
        <w:rPr>
          <w:rFonts w:ascii="Calibri" w:eastAsia="Calibri" w:hAnsi="Calibri" w:cs="Calibri"/>
          <w:color w:val="222222"/>
        </w:rPr>
        <w:t xml:space="preserve"> tracking of body orientation of the focal mouse </w:t>
      </w:r>
      <w:r w:rsidR="003928DA">
        <w:rPr>
          <w:rFonts w:ascii="Calibri" w:eastAsia="Calibri" w:hAnsi="Calibri" w:cs="Calibri"/>
          <w:color w:val="222222"/>
        </w:rPr>
        <w:t>showed that</w:t>
      </w:r>
      <w:r w:rsidR="3A60E943" w:rsidRPr="18D71323">
        <w:rPr>
          <w:rFonts w:ascii="Calibri" w:eastAsia="Calibri" w:hAnsi="Calibri" w:cs="Calibri"/>
          <w:color w:val="222222"/>
        </w:rPr>
        <w:t xml:space="preserve"> </w:t>
      </w:r>
      <w:r w:rsidR="191D1B1D" w:rsidRPr="15088DFF">
        <w:rPr>
          <w:rFonts w:ascii="Calibri" w:eastAsia="Calibri" w:hAnsi="Calibri" w:cs="Calibri"/>
        </w:rPr>
        <w:t>s</w:t>
      </w:r>
      <w:r w:rsidR="003928DA" w:rsidRPr="15088DFF">
        <w:rPr>
          <w:rFonts w:ascii="Calibri" w:eastAsia="Calibri" w:hAnsi="Calibri" w:cs="Calibri"/>
        </w:rPr>
        <w:t>ocial</w:t>
      </w:r>
      <w:r w:rsidR="003928DA">
        <w:rPr>
          <w:rFonts w:ascii="Calibri" w:eastAsia="Calibri" w:hAnsi="Calibri" w:cs="Calibri"/>
        </w:rPr>
        <w:t xml:space="preserve"> defeat increased GCaMP6f signals </w:t>
      </w:r>
      <w:r w:rsidR="21F94C51" w:rsidRPr="15088DFF">
        <w:rPr>
          <w:rFonts w:ascii="Calibri" w:eastAsia="Calibri" w:hAnsi="Calibri" w:cs="Calibri"/>
        </w:rPr>
        <w:t>to</w:t>
      </w:r>
      <w:r w:rsidR="003928DA">
        <w:rPr>
          <w:rFonts w:ascii="Calibri" w:eastAsia="Calibri" w:hAnsi="Calibri" w:cs="Calibri"/>
        </w:rPr>
        <w:t xml:space="preserve"> aggression </w:t>
      </w:r>
      <w:r w:rsidR="00250F72">
        <w:rPr>
          <w:rFonts w:ascii="Calibri" w:eastAsia="Calibri" w:hAnsi="Calibri" w:cs="Calibri"/>
        </w:rPr>
        <w:t xml:space="preserve">received by </w:t>
      </w:r>
      <w:r w:rsidR="003928DA" w:rsidRPr="6A771160">
        <w:rPr>
          <w:rFonts w:ascii="Calibri" w:eastAsia="Calibri" w:hAnsi="Calibri" w:cs="Calibri"/>
        </w:rPr>
        <w:t>na</w:t>
      </w:r>
      <w:r w:rsidR="27416DDA" w:rsidRPr="6A771160">
        <w:rPr>
          <w:rFonts w:ascii="Calibri" w:eastAsia="Calibri" w:hAnsi="Calibri" w:cs="Calibri"/>
        </w:rPr>
        <w:t>i</w:t>
      </w:r>
      <w:r w:rsidR="003928DA" w:rsidRPr="6A771160">
        <w:rPr>
          <w:rFonts w:ascii="Calibri" w:eastAsia="Calibri" w:hAnsi="Calibri" w:cs="Calibri"/>
        </w:rPr>
        <w:t>ve</w:t>
      </w:r>
      <w:r w:rsidR="003928DA">
        <w:rPr>
          <w:rFonts w:ascii="Calibri" w:eastAsia="Calibri" w:hAnsi="Calibri" w:cs="Calibri"/>
        </w:rPr>
        <w:t xml:space="preserve"> </w:t>
      </w:r>
      <w:r w:rsidR="3A60E943" w:rsidRPr="18D71323">
        <w:rPr>
          <w:rFonts w:ascii="Calibri" w:eastAsia="Calibri" w:hAnsi="Calibri" w:cs="Calibri"/>
        </w:rPr>
        <w:t>target m</w:t>
      </w:r>
      <w:r w:rsidR="003928DA">
        <w:rPr>
          <w:rFonts w:ascii="Calibri" w:eastAsia="Calibri" w:hAnsi="Calibri" w:cs="Calibri"/>
        </w:rPr>
        <w:t xml:space="preserve">ice in the center of the visual field </w:t>
      </w:r>
      <w:r w:rsidR="7D9A4F04" w:rsidRPr="15088DFF">
        <w:rPr>
          <w:rFonts w:ascii="Calibri" w:eastAsia="Calibri" w:hAnsi="Calibri" w:cs="Calibri"/>
        </w:rPr>
        <w:t>compared to</w:t>
      </w:r>
      <w:r w:rsidR="003928DA" w:rsidRPr="15088DFF">
        <w:rPr>
          <w:rFonts w:ascii="Calibri" w:eastAsia="Calibri" w:hAnsi="Calibri" w:cs="Calibri"/>
        </w:rPr>
        <w:t xml:space="preserve"> </w:t>
      </w:r>
      <w:r w:rsidR="003928DA">
        <w:rPr>
          <w:rFonts w:ascii="Calibri" w:eastAsia="Calibri" w:hAnsi="Calibri" w:cs="Calibri"/>
        </w:rPr>
        <w:t>pre-stress</w:t>
      </w:r>
      <w:r w:rsidR="3A60E943" w:rsidRPr="18D71323">
        <w:rPr>
          <w:rFonts w:ascii="Calibri" w:eastAsia="Calibri" w:hAnsi="Calibri" w:cs="Calibri"/>
        </w:rPr>
        <w:t>.</w:t>
      </w:r>
      <w:r w:rsidRPr="18D71323">
        <w:t xml:space="preserve"> </w:t>
      </w:r>
      <w:r w:rsidR="52CDA79A" w:rsidRPr="18D71323">
        <w:rPr>
          <w:b/>
          <w:bCs/>
        </w:rPr>
        <w:t>C</w:t>
      </w:r>
      <w:r w:rsidRPr="18D71323">
        <w:rPr>
          <w:b/>
          <w:bCs/>
        </w:rPr>
        <w:t>.</w:t>
      </w:r>
      <w:r w:rsidRPr="18D71323">
        <w:t xml:space="preserve"> </w:t>
      </w:r>
      <w:r w:rsidR="477DCFEE" w:rsidRPr="18D71323">
        <w:rPr>
          <w:rFonts w:ascii="Calibri" w:eastAsia="Calibri" w:hAnsi="Calibri" w:cs="Calibri"/>
        </w:rPr>
        <w:t xml:space="preserve">Aggression </w:t>
      </w:r>
      <w:r w:rsidR="003928DA">
        <w:rPr>
          <w:rFonts w:ascii="Calibri" w:eastAsia="Calibri" w:hAnsi="Calibri" w:cs="Calibri"/>
        </w:rPr>
        <w:t>received from</w:t>
      </w:r>
      <w:r w:rsidR="633BF3DF" w:rsidRPr="18D71323">
        <w:rPr>
          <w:rFonts w:ascii="Calibri" w:eastAsia="Calibri" w:hAnsi="Calibri" w:cs="Calibri"/>
        </w:rPr>
        <w:t xml:space="preserve"> </w:t>
      </w:r>
      <w:r w:rsidR="477DCFEE" w:rsidRPr="18D71323">
        <w:rPr>
          <w:rFonts w:ascii="Calibri" w:eastAsia="Calibri" w:hAnsi="Calibri" w:cs="Calibri"/>
        </w:rPr>
        <w:t>na</w:t>
      </w:r>
      <w:r w:rsidR="497ACFB0" w:rsidRPr="18D71323">
        <w:rPr>
          <w:rFonts w:ascii="Calibri" w:eastAsia="Calibri" w:hAnsi="Calibri" w:cs="Calibri"/>
        </w:rPr>
        <w:t>i</w:t>
      </w:r>
      <w:r w:rsidR="477DCFEE" w:rsidRPr="18D71323">
        <w:rPr>
          <w:rFonts w:ascii="Calibri" w:eastAsia="Calibri" w:hAnsi="Calibri" w:cs="Calibri"/>
        </w:rPr>
        <w:t xml:space="preserve">ve target mouse induced an acute increase in ΔF/F in post-stress but not pre-stress males. In contrast aggression </w:t>
      </w:r>
      <w:r w:rsidR="3C92C33B" w:rsidRPr="15088DFF">
        <w:rPr>
          <w:rFonts w:ascii="Calibri" w:eastAsia="Calibri" w:hAnsi="Calibri" w:cs="Calibri"/>
        </w:rPr>
        <w:t xml:space="preserve">received </w:t>
      </w:r>
      <w:r w:rsidR="477DCFEE" w:rsidRPr="18D71323">
        <w:rPr>
          <w:rFonts w:ascii="Calibri" w:eastAsia="Calibri" w:hAnsi="Calibri" w:cs="Calibri"/>
        </w:rPr>
        <w:t xml:space="preserve">from </w:t>
      </w:r>
      <w:r w:rsidR="1C110617" w:rsidRPr="18D71323">
        <w:rPr>
          <w:rFonts w:ascii="Calibri" w:eastAsia="Calibri" w:hAnsi="Calibri" w:cs="Calibri"/>
        </w:rPr>
        <w:t>the</w:t>
      </w:r>
      <w:r w:rsidR="477DCFEE" w:rsidRPr="18D71323">
        <w:rPr>
          <w:rFonts w:ascii="Calibri" w:eastAsia="Calibri" w:hAnsi="Calibri" w:cs="Calibri"/>
        </w:rPr>
        <w:t xml:space="preserve"> aggress</w:t>
      </w:r>
      <w:r w:rsidR="33F84A5C" w:rsidRPr="18D71323">
        <w:rPr>
          <w:rFonts w:ascii="Calibri" w:eastAsia="Calibri" w:hAnsi="Calibri" w:cs="Calibri"/>
        </w:rPr>
        <w:t>or</w:t>
      </w:r>
      <w:r w:rsidR="477DCFEE" w:rsidRPr="18D71323">
        <w:rPr>
          <w:rFonts w:ascii="Calibri" w:eastAsia="Calibri" w:hAnsi="Calibri" w:cs="Calibri"/>
        </w:rPr>
        <w:t xml:space="preserve"> target m</w:t>
      </w:r>
      <w:r w:rsidR="00E340B4">
        <w:rPr>
          <w:rFonts w:ascii="Calibri" w:eastAsia="Calibri" w:hAnsi="Calibri" w:cs="Calibri"/>
        </w:rPr>
        <w:t>ice</w:t>
      </w:r>
      <w:r w:rsidR="477DCFEE" w:rsidRPr="18D71323">
        <w:rPr>
          <w:rFonts w:ascii="Calibri" w:eastAsia="Calibri" w:hAnsi="Calibri" w:cs="Calibri"/>
        </w:rPr>
        <w:t xml:space="preserve"> increased </w:t>
      </w:r>
      <w:r w:rsidR="088AD587" w:rsidRPr="18D71323">
        <w:rPr>
          <w:rFonts w:ascii="Calibri" w:eastAsia="Calibri" w:hAnsi="Calibri" w:cs="Calibri"/>
        </w:rPr>
        <w:t xml:space="preserve">acute and delayed </w:t>
      </w:r>
      <w:r w:rsidR="477DCFEE" w:rsidRPr="18D71323">
        <w:rPr>
          <w:rFonts w:ascii="Calibri" w:eastAsia="Calibri" w:hAnsi="Calibri" w:cs="Calibri"/>
        </w:rPr>
        <w:t xml:space="preserve">ΔF/F in both </w:t>
      </w:r>
      <w:r w:rsidR="34972265" w:rsidRPr="18D71323">
        <w:rPr>
          <w:rFonts w:ascii="Calibri" w:eastAsia="Calibri" w:hAnsi="Calibri" w:cs="Calibri"/>
        </w:rPr>
        <w:t>pre-</w:t>
      </w:r>
      <w:r w:rsidR="477DCFEE" w:rsidRPr="18D71323">
        <w:rPr>
          <w:rFonts w:ascii="Calibri" w:eastAsia="Calibri" w:hAnsi="Calibri" w:cs="Calibri"/>
        </w:rPr>
        <w:t xml:space="preserve"> and </w:t>
      </w:r>
      <w:r w:rsidR="0104208C" w:rsidRPr="18D71323">
        <w:rPr>
          <w:rFonts w:ascii="Calibri" w:eastAsia="Calibri" w:hAnsi="Calibri" w:cs="Calibri"/>
        </w:rPr>
        <w:t>post-stress</w:t>
      </w:r>
      <w:r w:rsidR="65C8B8FB" w:rsidRPr="18D71323">
        <w:rPr>
          <w:rFonts w:ascii="Calibri" w:eastAsia="Calibri" w:hAnsi="Calibri" w:cs="Calibri"/>
        </w:rPr>
        <w:t xml:space="preserve"> </w:t>
      </w:r>
      <w:r w:rsidR="477DCFEE" w:rsidRPr="18D71323">
        <w:rPr>
          <w:rFonts w:ascii="Calibri" w:eastAsia="Calibri" w:hAnsi="Calibri" w:cs="Calibri"/>
        </w:rPr>
        <w:t xml:space="preserve">males. </w:t>
      </w:r>
      <w:r w:rsidR="477DCFEE" w:rsidRPr="18D71323">
        <w:rPr>
          <w:rFonts w:ascii="Calibri" w:eastAsia="Calibri" w:hAnsi="Calibri" w:cs="Calibri"/>
          <w:b/>
          <w:bCs/>
        </w:rPr>
        <w:t>F.</w:t>
      </w:r>
      <w:r w:rsidR="477DCFEE" w:rsidRPr="18D71323">
        <w:rPr>
          <w:rFonts w:ascii="Calibri" w:eastAsia="Calibri" w:hAnsi="Calibri" w:cs="Calibri"/>
        </w:rPr>
        <w:t xml:space="preserve"> There were no changes in ΔF/F following bouts of freezing.</w:t>
      </w:r>
      <w:r w:rsidR="5B27E239" w:rsidRPr="18D71323">
        <w:rPr>
          <w:rFonts w:ascii="Calibri" w:eastAsia="Calibri" w:hAnsi="Calibri" w:cs="Calibri"/>
        </w:rPr>
        <w:t xml:space="preserve"> </w:t>
      </w:r>
      <w:r w:rsidR="00680D3D">
        <w:rPr>
          <w:rFonts w:ascii="Calibri" w:eastAsia="Calibri" w:hAnsi="Calibri" w:cs="Calibri"/>
        </w:rPr>
        <w:t>†</w:t>
      </w:r>
      <w:r w:rsidR="5B27E239" w:rsidRPr="18D71323">
        <w:rPr>
          <w:rFonts w:ascii="Calibri" w:eastAsia="Calibri" w:hAnsi="Calibri" w:cs="Calibri"/>
        </w:rPr>
        <w:t>p&lt; 0.05</w:t>
      </w:r>
      <w:r w:rsidR="00680D3D">
        <w:rPr>
          <w:rFonts w:ascii="Calibri" w:eastAsia="Calibri" w:hAnsi="Calibri" w:cs="Calibri"/>
        </w:rPr>
        <w:t xml:space="preserve"> vs pre-stress</w:t>
      </w:r>
      <w:r w:rsidR="5B27E239" w:rsidRPr="18D71323">
        <w:rPr>
          <w:rFonts w:ascii="Calibri" w:eastAsia="Calibri" w:hAnsi="Calibri" w:cs="Calibri"/>
        </w:rPr>
        <w:t>, *** p&lt;0.001</w:t>
      </w:r>
      <w:r w:rsidR="00680D3D">
        <w:rPr>
          <w:rFonts w:ascii="Calibri" w:eastAsia="Calibri" w:hAnsi="Calibri" w:cs="Calibri"/>
        </w:rPr>
        <w:t xml:space="preserve"> vs. baseline.</w:t>
      </w:r>
      <w:r w:rsidR="001608B8">
        <w:rPr>
          <w:rFonts w:ascii="Calibri" w:eastAsia="Calibri" w:hAnsi="Calibri" w:cs="Calibri"/>
        </w:rPr>
        <w:t xml:space="preserve"> </w:t>
      </w:r>
      <w:r w:rsidR="00EF113C" w:rsidRPr="00124D7E">
        <w:t>Data available at doi:</w:t>
      </w:r>
      <w:r w:rsidR="00EF113C" w:rsidRPr="00124D7E">
        <w:rPr>
          <w:b/>
          <w:bCs/>
        </w:rPr>
        <w:t xml:space="preserve"> </w:t>
      </w:r>
      <w:r w:rsidR="00EF113C" w:rsidRPr="00124D7E">
        <w:t>10.6084/m9.figshare.23</w:t>
      </w:r>
      <w:r w:rsidR="00EF113C">
        <w:t>983</w:t>
      </w:r>
      <w:r w:rsidR="00EB78E9">
        <w:t>032</w:t>
      </w:r>
      <w:r w:rsidR="00EF113C">
        <w:t>.</w:t>
      </w:r>
    </w:p>
    <w:p w14:paraId="67DB06EB" w14:textId="6B83CF9A" w:rsidR="00156D05" w:rsidRDefault="00156D05">
      <w:pPr>
        <w:rPr>
          <w:rFonts w:ascii="Arial" w:hAnsi="Arial" w:cs="Arial"/>
          <w:b/>
          <w:bCs/>
          <w:color w:val="000000"/>
          <w:sz w:val="20"/>
          <w:szCs w:val="20"/>
        </w:rPr>
      </w:pPr>
      <w:r>
        <w:rPr>
          <w:rFonts w:ascii="Arial" w:hAnsi="Arial" w:cs="Arial"/>
          <w:b/>
          <w:bCs/>
          <w:color w:val="000000"/>
          <w:sz w:val="20"/>
          <w:szCs w:val="20"/>
        </w:rPr>
        <w:br w:type="page"/>
      </w:r>
    </w:p>
    <w:p w14:paraId="3AC031F2" w14:textId="0298FF28" w:rsidR="003A1990" w:rsidRDefault="00156D05" w:rsidP="71BA0E7D">
      <w:pPr>
        <w:keepNext/>
        <w:pBdr>
          <w:top w:val="nil"/>
          <w:left w:val="nil"/>
          <w:bottom w:val="nil"/>
          <w:right w:val="nil"/>
          <w:between w:val="nil"/>
        </w:pBdr>
        <w:spacing w:before="240" w:after="60"/>
        <w:contextualSpacing/>
        <w:rPr>
          <w:rFonts w:ascii="Arial" w:hAnsi="Arial" w:cs="Arial"/>
          <w:b/>
          <w:bCs/>
          <w:color w:val="000000"/>
          <w:sz w:val="20"/>
          <w:szCs w:val="20"/>
        </w:rPr>
      </w:pPr>
      <w:r>
        <w:rPr>
          <w:rFonts w:ascii="Arial" w:hAnsi="Arial" w:cs="Arial"/>
          <w:b/>
          <w:bCs/>
          <w:noProof/>
          <w:color w:val="000000"/>
          <w:sz w:val="20"/>
          <w:szCs w:val="20"/>
        </w:rPr>
        <w:lastRenderedPageBreak/>
        <w:drawing>
          <wp:anchor distT="0" distB="0" distL="114300" distR="114300" simplePos="0" relativeHeight="251658240" behindDoc="0" locked="0" layoutInCell="1" allowOverlap="1" wp14:anchorId="428144E6" wp14:editId="5060E505">
            <wp:simplePos x="0" y="0"/>
            <wp:positionH relativeFrom="column">
              <wp:posOffset>0</wp:posOffset>
            </wp:positionH>
            <wp:positionV relativeFrom="paragraph">
              <wp:posOffset>1270</wp:posOffset>
            </wp:positionV>
            <wp:extent cx="3457575" cy="6727244"/>
            <wp:effectExtent l="0" t="0" r="0" b="0"/>
            <wp:wrapSquare wrapText="bothSides"/>
            <wp:docPr id="73023559"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23559" name="Picture 5" descr="A screenshot of a cell phon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57575" cy="6727244"/>
                    </a:xfrm>
                    <a:prstGeom prst="rect">
                      <a:avLst/>
                    </a:prstGeom>
                  </pic:spPr>
                </pic:pic>
              </a:graphicData>
            </a:graphic>
          </wp:anchor>
        </w:drawing>
      </w:r>
    </w:p>
    <w:p w14:paraId="4369D66F" w14:textId="3506F125" w:rsidR="00AD692A" w:rsidRDefault="003A1990" w:rsidP="00C5424D">
      <w:pPr>
        <w:keepNext/>
        <w:pBdr>
          <w:top w:val="nil"/>
          <w:left w:val="nil"/>
          <w:bottom w:val="nil"/>
          <w:right w:val="nil"/>
          <w:between w:val="nil"/>
        </w:pBdr>
        <w:spacing w:before="240" w:after="60"/>
        <w:contextualSpacing/>
        <w:rPr>
          <w:rFonts w:ascii="Arial" w:hAnsi="Arial" w:cs="Arial"/>
          <w:color w:val="000000"/>
          <w:sz w:val="20"/>
          <w:szCs w:val="20"/>
        </w:rPr>
      </w:pPr>
      <w:r w:rsidRPr="00CE73B4">
        <w:rPr>
          <w:rFonts w:cstheme="minorHAnsi"/>
          <w:b/>
        </w:rPr>
        <w:t xml:space="preserve">Figure </w:t>
      </w:r>
      <w:r w:rsidR="000B4C7D">
        <w:rPr>
          <w:rFonts w:cstheme="minorHAnsi"/>
          <w:b/>
        </w:rPr>
        <w:t>5</w:t>
      </w:r>
      <w:r w:rsidRPr="00CE73B4">
        <w:rPr>
          <w:rFonts w:cstheme="minorHAnsi"/>
          <w:b/>
        </w:rPr>
        <w:t xml:space="preserve">: </w:t>
      </w:r>
      <w:r>
        <w:rPr>
          <w:rFonts w:cstheme="minorHAnsi"/>
          <w:b/>
        </w:rPr>
        <w:t>Sexual differentiation of oxytocin-dependent circuits of social avoidance occurs during puberty.</w:t>
      </w:r>
      <w:r>
        <w:rPr>
          <w:b/>
          <w:color w:val="222222"/>
        </w:rPr>
        <w:t xml:space="preserve"> A. </w:t>
      </w:r>
      <w:r w:rsidRPr="00F02D45">
        <w:rPr>
          <w:color w:val="222222"/>
        </w:rPr>
        <w:t>Experimental</w:t>
      </w:r>
      <w:r>
        <w:rPr>
          <w:b/>
          <w:color w:val="222222"/>
        </w:rPr>
        <w:t xml:space="preserve"> </w:t>
      </w:r>
      <w:r>
        <w:rPr>
          <w:color w:val="222222"/>
        </w:rPr>
        <w:t>timeline for immunohistochemistry analyses in prepubertally castrated or intact California mice.</w:t>
      </w:r>
      <w:r>
        <w:rPr>
          <w:b/>
          <w:color w:val="222222"/>
        </w:rPr>
        <w:t xml:space="preserve"> B</w:t>
      </w:r>
      <w:r w:rsidRPr="0041207C">
        <w:rPr>
          <w:b/>
          <w:color w:val="17365D" w:themeColor="text2" w:themeShade="BF"/>
        </w:rPr>
        <w:t>.</w:t>
      </w:r>
      <w:r>
        <w:rPr>
          <w:b/>
          <w:color w:val="17365D" w:themeColor="text2" w:themeShade="BF"/>
        </w:rPr>
        <w:t xml:space="preserve"> </w:t>
      </w:r>
      <w:r>
        <w:rPr>
          <w:color w:val="222222"/>
        </w:rPr>
        <w:t xml:space="preserve">Overlay of oxytocin (green) and c-fos (magenta) immunostaining in the paraventricular nucleus. Arrows indicate colocalizations in oxytocin (B’) and c-fos (B”) images. </w:t>
      </w:r>
      <w:r>
        <w:rPr>
          <w:b/>
          <w:color w:val="222222"/>
        </w:rPr>
        <w:t xml:space="preserve">C. </w:t>
      </w:r>
      <w:r w:rsidRPr="004E001A">
        <w:rPr>
          <w:bCs/>
          <w:color w:val="222222"/>
        </w:rPr>
        <w:t>I</w:t>
      </w:r>
      <w:r>
        <w:rPr>
          <w:bCs/>
          <w:color w:val="222222"/>
        </w:rPr>
        <w:t xml:space="preserve">n the anterior PVN social defeat increased colocalizations </w:t>
      </w:r>
      <w:r>
        <w:t xml:space="preserve">(n=6-7 per group) </w:t>
      </w:r>
      <w:r>
        <w:rPr>
          <w:bCs/>
          <w:color w:val="222222"/>
        </w:rPr>
        <w:t xml:space="preserve">in prepubertally castrated males but not intact males(C’) and that social approach was negatively correlated with oxytocin/c-fos colocalizations (C”). </w:t>
      </w:r>
      <w:r w:rsidRPr="00D6114B">
        <w:rPr>
          <w:b/>
          <w:color w:val="222222"/>
        </w:rPr>
        <w:t>D</w:t>
      </w:r>
      <w:r>
        <w:rPr>
          <w:bCs/>
          <w:color w:val="222222"/>
        </w:rPr>
        <w:t xml:space="preserve">. In the posterior PVN castration increased oxytocin/c-fos colocalizations regardless of stress status (D’) and social approach was negatively correlated with colocalizations. E. In anteromedial BNST, where oxytocin receptors drive social avoidance, prepubertal castration increased c-fos immunoreactivity regardless of stress status (E’) and c-fos positive cells were negatively correlated with social approach (E”). </w:t>
      </w:r>
      <w:r w:rsidRPr="00071160">
        <w:rPr>
          <w:b/>
          <w:color w:val="222222"/>
        </w:rPr>
        <w:t>F</w:t>
      </w:r>
      <w:r>
        <w:rPr>
          <w:bCs/>
          <w:color w:val="222222"/>
        </w:rPr>
        <w:t xml:space="preserve">. Experimental timeline for examining effects of oxytocin receptors on social behavior. </w:t>
      </w:r>
      <w:proofErr w:type="gramStart"/>
      <w:r w:rsidRPr="00071160">
        <w:rPr>
          <w:b/>
          <w:color w:val="222222"/>
        </w:rPr>
        <w:t>G,H</w:t>
      </w:r>
      <w:r>
        <w:rPr>
          <w:bCs/>
          <w:color w:val="222222"/>
        </w:rPr>
        <w:t>.</w:t>
      </w:r>
      <w:proofErr w:type="gramEnd"/>
      <w:r>
        <w:rPr>
          <w:bCs/>
          <w:color w:val="222222"/>
        </w:rPr>
        <w:t xml:space="preserve"> In both males and females exposed to social defeat an </w:t>
      </w:r>
      <w:proofErr w:type="spellStart"/>
      <w:r>
        <w:rPr>
          <w:bCs/>
          <w:color w:val="222222"/>
        </w:rPr>
        <w:t>i.p.</w:t>
      </w:r>
      <w:proofErr w:type="spellEnd"/>
      <w:r>
        <w:rPr>
          <w:bCs/>
          <w:color w:val="222222"/>
        </w:rPr>
        <w:t xml:space="preserve"> injection of 5 mg/kg of the oxytocin receptor antagonist L368,899 increased social approach and decreased social vigilance </w:t>
      </w:r>
      <w:r>
        <w:t>(n=7-9 per group)</w:t>
      </w:r>
      <w:r>
        <w:rPr>
          <w:bCs/>
          <w:color w:val="222222"/>
        </w:rPr>
        <w:t xml:space="preserve">. </w:t>
      </w:r>
      <w:r w:rsidRPr="00952050">
        <w:rPr>
          <w:color w:val="FF0000"/>
        </w:rPr>
        <w:t>*</w:t>
      </w:r>
      <w:r w:rsidRPr="00840FFF">
        <w:t>,</w:t>
      </w:r>
      <w:r>
        <w:t xml:space="preserve"> </w:t>
      </w:r>
      <w:r w:rsidRPr="00952050">
        <w:rPr>
          <w:color w:val="FF0000"/>
        </w:rPr>
        <w:t>**</w:t>
      </w:r>
      <w:r w:rsidRPr="00840FFF">
        <w:t xml:space="preserve"> p&lt;0.05,</w:t>
      </w:r>
      <w:r>
        <w:t xml:space="preserve"> </w:t>
      </w:r>
      <w:r w:rsidRPr="00840FFF">
        <w:t>control</w:t>
      </w:r>
      <w:r>
        <w:t>/vehicle</w:t>
      </w:r>
      <w:r w:rsidRPr="00840FFF">
        <w:t>.</w:t>
      </w:r>
      <w:r>
        <w:t xml:space="preserve"> </w:t>
      </w:r>
      <w:r w:rsidRPr="00867C02">
        <w:rPr>
          <w:rFonts w:cstheme="minorHAnsi"/>
          <w:color w:val="FF0000"/>
        </w:rPr>
        <w:t>†</w:t>
      </w:r>
      <w:r>
        <w:rPr>
          <w:color w:val="222222"/>
        </w:rPr>
        <w:t>p &lt; 0.05 vs. intact.</w:t>
      </w:r>
      <w:r w:rsidR="00DB0824" w:rsidRPr="00DB0824">
        <w:rPr>
          <w:rFonts w:ascii="Arial" w:eastAsia="Times New Roman" w:hAnsi="Arial" w:cs="Arial"/>
          <w:sz w:val="20"/>
          <w:szCs w:val="20"/>
        </w:rPr>
        <w:t xml:space="preserve"> </w:t>
      </w:r>
      <w:r w:rsidR="00DB0824" w:rsidRPr="00DB0824">
        <w:rPr>
          <w:color w:val="222222"/>
        </w:rPr>
        <w:t>Data available at</w:t>
      </w:r>
      <w:r w:rsidR="00357D24">
        <w:rPr>
          <w:color w:val="222222"/>
        </w:rPr>
        <w:t xml:space="preserve"> </w:t>
      </w:r>
      <w:proofErr w:type="gramStart"/>
      <w:r w:rsidR="00357D24">
        <w:rPr>
          <w:color w:val="222222"/>
        </w:rPr>
        <w:t>doi:</w:t>
      </w:r>
      <w:r w:rsidR="00357D24" w:rsidRPr="00357D24">
        <w:rPr>
          <w:color w:val="222222"/>
        </w:rPr>
        <w:t>10.6084/m9.figshare</w:t>
      </w:r>
      <w:proofErr w:type="gramEnd"/>
      <w:r w:rsidR="00357D24" w:rsidRPr="00357D24">
        <w:rPr>
          <w:color w:val="222222"/>
        </w:rPr>
        <w:t>.23929644</w:t>
      </w:r>
      <w:r w:rsidR="00DB0824" w:rsidRPr="00DB0824">
        <w:rPr>
          <w:color w:val="222222"/>
        </w:rPr>
        <w:t>.</w:t>
      </w:r>
      <w:r w:rsidR="00AD692A">
        <w:rPr>
          <w:rFonts w:ascii="Arial" w:hAnsi="Arial" w:cs="Arial"/>
          <w:color w:val="000000"/>
          <w:sz w:val="20"/>
          <w:szCs w:val="20"/>
        </w:rPr>
        <w:br w:type="page"/>
      </w:r>
    </w:p>
    <w:p w14:paraId="5F52FE05" w14:textId="67F31354" w:rsidR="001668E8" w:rsidRDefault="00156D05" w:rsidP="00BD1FB4">
      <w:pPr>
        <w:keepNext/>
        <w:pBdr>
          <w:top w:val="nil"/>
          <w:left w:val="nil"/>
          <w:bottom w:val="nil"/>
          <w:right w:val="nil"/>
          <w:between w:val="nil"/>
        </w:pBdr>
        <w:spacing w:before="240" w:after="60"/>
        <w:contextualSpacing/>
        <w:rPr>
          <w:rFonts w:ascii="Arial" w:hAnsi="Arial" w:cs="Arial"/>
          <w:b/>
          <w:color w:val="000000"/>
          <w:sz w:val="20"/>
          <w:szCs w:val="20"/>
        </w:rPr>
      </w:pPr>
      <w:r>
        <w:rPr>
          <w:rFonts w:ascii="Arial" w:hAnsi="Arial" w:cs="Arial"/>
          <w:b/>
          <w:noProof/>
          <w:color w:val="000000"/>
          <w:sz w:val="20"/>
          <w:szCs w:val="20"/>
        </w:rPr>
        <w:lastRenderedPageBreak/>
        <w:drawing>
          <wp:inline distT="0" distB="0" distL="0" distR="0" wp14:anchorId="73397DB7" wp14:editId="456DE21C">
            <wp:extent cx="3953563" cy="5476875"/>
            <wp:effectExtent l="0" t="0" r="0" b="0"/>
            <wp:docPr id="1259020760" name="Picture 6"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020760" name="Picture 6" descr="A screenshot of a video gam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56157" cy="5480469"/>
                    </a:xfrm>
                    <a:prstGeom prst="rect">
                      <a:avLst/>
                    </a:prstGeom>
                  </pic:spPr>
                </pic:pic>
              </a:graphicData>
            </a:graphic>
          </wp:inline>
        </w:drawing>
      </w:r>
    </w:p>
    <w:p w14:paraId="3926A143" w14:textId="1D4684A5" w:rsidR="00E6133D" w:rsidRPr="00F649EE" w:rsidRDefault="0091170A" w:rsidP="00BD1FB4">
      <w:pPr>
        <w:keepNext/>
        <w:pBdr>
          <w:top w:val="nil"/>
          <w:left w:val="nil"/>
          <w:bottom w:val="nil"/>
          <w:right w:val="nil"/>
          <w:between w:val="nil"/>
        </w:pBdr>
        <w:spacing w:before="240" w:after="60"/>
        <w:contextualSpacing/>
        <w:rPr>
          <w:rFonts w:ascii="Arial" w:hAnsi="Arial" w:cs="Arial"/>
          <w:b/>
          <w:color w:val="000000"/>
          <w:sz w:val="20"/>
          <w:szCs w:val="20"/>
        </w:rPr>
      </w:pPr>
      <w:r>
        <w:rPr>
          <w:rFonts w:ascii="Arial" w:hAnsi="Arial" w:cs="Arial"/>
          <w:b/>
          <w:color w:val="000000"/>
          <w:sz w:val="20"/>
          <w:szCs w:val="20"/>
        </w:rPr>
        <w:t xml:space="preserve">Figure </w:t>
      </w:r>
      <w:r w:rsidR="000B4C7D">
        <w:rPr>
          <w:rFonts w:ascii="Arial" w:hAnsi="Arial" w:cs="Arial"/>
          <w:b/>
          <w:color w:val="000000"/>
          <w:sz w:val="20"/>
          <w:szCs w:val="20"/>
        </w:rPr>
        <w:t>6</w:t>
      </w:r>
      <w:r w:rsidR="00E6133D" w:rsidRPr="00F649EE">
        <w:rPr>
          <w:rFonts w:ascii="Arial" w:hAnsi="Arial" w:cs="Arial"/>
          <w:b/>
          <w:color w:val="000000"/>
          <w:sz w:val="20"/>
          <w:szCs w:val="20"/>
        </w:rPr>
        <w:t>.</w:t>
      </w:r>
      <w:r w:rsidR="00E6133D" w:rsidRPr="00F649EE">
        <w:rPr>
          <w:rFonts w:ascii="Arial" w:hAnsi="Arial" w:cs="Arial"/>
          <w:color w:val="000000"/>
          <w:sz w:val="20"/>
          <w:szCs w:val="20"/>
        </w:rPr>
        <w:t xml:space="preserve"> </w:t>
      </w:r>
      <w:r w:rsidR="00F84232" w:rsidRPr="00F84232">
        <w:rPr>
          <w:rFonts w:ascii="Arial" w:hAnsi="Arial" w:cs="Arial"/>
          <w:b/>
          <w:color w:val="000000"/>
          <w:sz w:val="20"/>
          <w:szCs w:val="20"/>
        </w:rPr>
        <w:t xml:space="preserve">Androgen treatment at puberty reduces effects of social defeat on social approach and vigilance in males and females. </w:t>
      </w:r>
      <w:r w:rsidR="00F84232" w:rsidRPr="00F84232">
        <w:rPr>
          <w:rFonts w:ascii="Arial" w:hAnsi="Arial" w:cs="Arial"/>
          <w:bCs/>
          <w:color w:val="000000"/>
          <w:sz w:val="20"/>
          <w:szCs w:val="20"/>
        </w:rPr>
        <w:t xml:space="preserve">A. Experimental timeline for surgery, social defeat, and social interaction testing in males. </w:t>
      </w:r>
      <w:r w:rsidR="00F84232" w:rsidRPr="00F84232">
        <w:rPr>
          <w:rFonts w:ascii="Arial" w:hAnsi="Arial" w:cs="Arial"/>
          <w:b/>
          <w:color w:val="000000"/>
          <w:sz w:val="20"/>
          <w:szCs w:val="20"/>
        </w:rPr>
        <w:t>B</w:t>
      </w:r>
      <w:r w:rsidR="00F84232" w:rsidRPr="00F84232">
        <w:rPr>
          <w:rFonts w:ascii="Arial" w:hAnsi="Arial" w:cs="Arial"/>
          <w:bCs/>
          <w:color w:val="000000"/>
          <w:sz w:val="20"/>
          <w:szCs w:val="20"/>
        </w:rPr>
        <w:t>. Castrated males treated with dihydrotestosterone (DHT</w:t>
      </w:r>
      <w:proofErr w:type="gramStart"/>
      <w:r w:rsidR="00F84232" w:rsidRPr="00F84232">
        <w:rPr>
          <w:rFonts w:ascii="Arial" w:hAnsi="Arial" w:cs="Arial"/>
          <w:bCs/>
          <w:color w:val="000000"/>
          <w:sz w:val="20"/>
          <w:szCs w:val="20"/>
        </w:rPr>
        <w:t>)</w:t>
      </w:r>
      <w:proofErr w:type="gramEnd"/>
      <w:r w:rsidR="00F84232" w:rsidRPr="00F84232">
        <w:rPr>
          <w:rFonts w:ascii="Arial" w:hAnsi="Arial" w:cs="Arial"/>
          <w:bCs/>
          <w:color w:val="000000"/>
          <w:sz w:val="20"/>
          <w:szCs w:val="20"/>
        </w:rPr>
        <w:t xml:space="preserve"> or testosterone (T) implants had higher social approach than males treated with empty implants (n=7-8 per group). </w:t>
      </w:r>
      <w:r w:rsidR="00F84232" w:rsidRPr="00F84232">
        <w:rPr>
          <w:rFonts w:ascii="Arial" w:hAnsi="Arial" w:cs="Arial"/>
          <w:b/>
          <w:color w:val="000000"/>
          <w:sz w:val="20"/>
          <w:szCs w:val="20"/>
        </w:rPr>
        <w:t>C</w:t>
      </w:r>
      <w:r w:rsidR="00F84232" w:rsidRPr="00F84232">
        <w:rPr>
          <w:rFonts w:ascii="Arial" w:hAnsi="Arial" w:cs="Arial"/>
          <w:bCs/>
          <w:color w:val="000000"/>
          <w:sz w:val="20"/>
          <w:szCs w:val="20"/>
        </w:rPr>
        <w:t xml:space="preserve">. Treatment with DHT or T also lowered social vigilance. </w:t>
      </w:r>
      <w:r w:rsidR="00F84232" w:rsidRPr="00F84232">
        <w:rPr>
          <w:rFonts w:ascii="Arial" w:hAnsi="Arial" w:cs="Arial"/>
          <w:b/>
          <w:color w:val="000000"/>
          <w:sz w:val="20"/>
          <w:szCs w:val="20"/>
        </w:rPr>
        <w:t>D</w:t>
      </w:r>
      <w:r w:rsidR="00F84232" w:rsidRPr="00F84232">
        <w:rPr>
          <w:rFonts w:ascii="Arial" w:hAnsi="Arial" w:cs="Arial"/>
          <w:bCs/>
          <w:color w:val="000000"/>
          <w:sz w:val="20"/>
          <w:szCs w:val="20"/>
        </w:rPr>
        <w:t xml:space="preserve">. Experimental timeline for surgery, behavior testing, and social defeat in female California mice. </w:t>
      </w:r>
      <w:r w:rsidR="00F84232" w:rsidRPr="00F84232">
        <w:rPr>
          <w:rFonts w:ascii="Arial" w:hAnsi="Arial" w:cs="Arial"/>
          <w:b/>
          <w:color w:val="000000"/>
          <w:sz w:val="20"/>
          <w:szCs w:val="20"/>
        </w:rPr>
        <w:t>E</w:t>
      </w:r>
      <w:r w:rsidR="00F84232" w:rsidRPr="00F84232">
        <w:rPr>
          <w:rFonts w:ascii="Arial" w:hAnsi="Arial" w:cs="Arial"/>
          <w:bCs/>
          <w:color w:val="000000"/>
          <w:sz w:val="20"/>
          <w:szCs w:val="20"/>
        </w:rPr>
        <w:t xml:space="preserve">. Hormone treatment had no effect on social approach before stress exposure but after stress exposure DHT treated females showed more social approach than females treated with empty implants or no surgery controls (n=8-10 per group). </w:t>
      </w:r>
      <w:r w:rsidR="00F84232" w:rsidRPr="00F84232">
        <w:rPr>
          <w:rFonts w:ascii="Arial" w:hAnsi="Arial" w:cs="Arial"/>
          <w:b/>
          <w:color w:val="000000"/>
          <w:sz w:val="20"/>
          <w:szCs w:val="20"/>
        </w:rPr>
        <w:t>F</w:t>
      </w:r>
      <w:r w:rsidR="00F84232" w:rsidRPr="00F84232">
        <w:rPr>
          <w:rFonts w:ascii="Arial" w:hAnsi="Arial" w:cs="Arial"/>
          <w:bCs/>
          <w:color w:val="000000"/>
          <w:sz w:val="20"/>
          <w:szCs w:val="20"/>
        </w:rPr>
        <w:t xml:space="preserve">. Similarly there were no differences in social vigilance in before stress but after stress social vigilance increased in no surgery control and empty implant females but not DHT females. </w:t>
      </w:r>
      <w:r w:rsidR="00F84232" w:rsidRPr="00F84232">
        <w:rPr>
          <w:rFonts w:ascii="Arial" w:hAnsi="Arial" w:cs="Arial"/>
          <w:color w:val="FF0000"/>
          <w:sz w:val="20"/>
          <w:szCs w:val="20"/>
        </w:rPr>
        <w:t>*</w:t>
      </w:r>
      <w:r w:rsidR="00F84232" w:rsidRPr="00F84232">
        <w:rPr>
          <w:rFonts w:ascii="Arial" w:hAnsi="Arial" w:cs="Arial"/>
          <w:color w:val="000000"/>
          <w:sz w:val="20"/>
          <w:szCs w:val="20"/>
        </w:rPr>
        <w:t>p&lt;0.05,</w:t>
      </w:r>
      <w:r w:rsidR="00F84232" w:rsidRPr="00F84232">
        <w:rPr>
          <w:rFonts w:ascii="Arial" w:hAnsi="Arial" w:cs="Arial"/>
          <w:color w:val="FF0000"/>
          <w:sz w:val="20"/>
          <w:szCs w:val="20"/>
        </w:rPr>
        <w:t xml:space="preserve"> ** </w:t>
      </w:r>
      <w:r w:rsidR="00F84232" w:rsidRPr="00F84232">
        <w:rPr>
          <w:rFonts w:ascii="Arial" w:hAnsi="Arial" w:cs="Arial"/>
          <w:color w:val="000000"/>
          <w:sz w:val="20"/>
          <w:szCs w:val="20"/>
        </w:rPr>
        <w:t xml:space="preserve">p&lt;0.01, </w:t>
      </w:r>
      <w:r w:rsidR="00F84232" w:rsidRPr="00F84232">
        <w:rPr>
          <w:rFonts w:ascii="Arial" w:hAnsi="Arial" w:cs="Arial"/>
          <w:color w:val="FF0000"/>
          <w:sz w:val="20"/>
          <w:szCs w:val="20"/>
        </w:rPr>
        <w:t xml:space="preserve">*** </w:t>
      </w:r>
      <w:r w:rsidR="00F84232" w:rsidRPr="00F84232">
        <w:rPr>
          <w:rFonts w:ascii="Arial" w:hAnsi="Arial" w:cs="Arial"/>
          <w:color w:val="000000"/>
          <w:sz w:val="20"/>
          <w:szCs w:val="20"/>
        </w:rPr>
        <w:t xml:space="preserve">p&lt;0.001 vs. empty implant. </w:t>
      </w:r>
      <w:r w:rsidR="00F84232" w:rsidRPr="00F84232">
        <w:rPr>
          <w:rFonts w:ascii="Arial" w:hAnsi="Arial" w:cs="Arial"/>
          <w:color w:val="FF0000"/>
          <w:sz w:val="20"/>
          <w:szCs w:val="20"/>
        </w:rPr>
        <w:t>&amp;</w:t>
      </w:r>
      <w:r w:rsidR="00F84232" w:rsidRPr="00F84232">
        <w:rPr>
          <w:rFonts w:ascii="Arial" w:hAnsi="Arial" w:cs="Arial"/>
          <w:color w:val="000000"/>
          <w:sz w:val="20"/>
          <w:szCs w:val="20"/>
        </w:rPr>
        <w:t xml:space="preserve"> p&lt;0.0</w:t>
      </w:r>
      <w:r w:rsidR="00D3482E">
        <w:rPr>
          <w:rFonts w:ascii="Arial" w:hAnsi="Arial" w:cs="Arial"/>
          <w:color w:val="000000"/>
          <w:sz w:val="20"/>
          <w:szCs w:val="20"/>
        </w:rPr>
        <w:t>78</w:t>
      </w:r>
      <w:r w:rsidR="00F84232" w:rsidRPr="00F84232">
        <w:rPr>
          <w:rFonts w:ascii="Arial" w:hAnsi="Arial" w:cs="Arial"/>
          <w:color w:val="000000"/>
          <w:sz w:val="20"/>
          <w:szCs w:val="20"/>
        </w:rPr>
        <w:t xml:space="preserve"> vs T.  </w:t>
      </w:r>
      <w:r w:rsidR="00F84232" w:rsidRPr="00F84232">
        <w:rPr>
          <w:rFonts w:ascii="Arial" w:hAnsi="Arial" w:cs="Arial"/>
          <w:color w:val="FF0000"/>
          <w:sz w:val="20"/>
          <w:szCs w:val="20"/>
        </w:rPr>
        <w:t>†</w:t>
      </w:r>
      <w:r w:rsidR="00F84232" w:rsidRPr="00F84232">
        <w:rPr>
          <w:rFonts w:ascii="Arial" w:hAnsi="Arial" w:cs="Arial"/>
          <w:color w:val="000000"/>
          <w:sz w:val="20"/>
          <w:szCs w:val="20"/>
        </w:rPr>
        <w:t xml:space="preserve">p &lt; 0.05 vs. control (pre-stress). </w:t>
      </w:r>
      <w:r w:rsidR="00A609B0">
        <w:rPr>
          <w:rFonts w:ascii="Arial" w:hAnsi="Arial" w:cs="Arial"/>
          <w:color w:val="000000"/>
          <w:sz w:val="20"/>
          <w:szCs w:val="20"/>
        </w:rPr>
        <w:t xml:space="preserve">Data available at doi: </w:t>
      </w:r>
      <w:r w:rsidR="00A609B0" w:rsidRPr="00A609B0">
        <w:rPr>
          <w:rFonts w:ascii="Arial" w:hAnsi="Arial" w:cs="Arial"/>
          <w:color w:val="000000"/>
          <w:sz w:val="20"/>
          <w:szCs w:val="20"/>
        </w:rPr>
        <w:t>10.6084/m9.figshare.23926101</w:t>
      </w:r>
    </w:p>
    <w:sectPr w:rsidR="00E6133D" w:rsidRPr="00F649EE" w:rsidSect="00BD1FB4">
      <w:headerReference w:type="default" r:id="rId16"/>
      <w:footerReference w:type="default" r:id="rId17"/>
      <w:type w:val="continuous"/>
      <w:pgSz w:w="12240" w:h="15840"/>
      <w:pgMar w:top="1440" w:right="1800" w:bottom="1440" w:left="1800" w:header="720" w:footer="720" w:gutter="0"/>
      <w:lnNumType w:countBy="1" w:restart="continuous"/>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2E9310" w14:textId="77777777" w:rsidR="00A01A90" w:rsidRDefault="00A01A90">
      <w:pPr>
        <w:spacing w:after="0"/>
      </w:pPr>
      <w:r>
        <w:separator/>
      </w:r>
    </w:p>
  </w:endnote>
  <w:endnote w:type="continuationSeparator" w:id="0">
    <w:p w14:paraId="29874458" w14:textId="77777777" w:rsidR="00A01A90" w:rsidRDefault="00A01A90">
      <w:pPr>
        <w:spacing w:after="0"/>
      </w:pPr>
      <w:r>
        <w:continuationSeparator/>
      </w:r>
    </w:p>
  </w:endnote>
  <w:endnote w:type="continuationNotice" w:id="1">
    <w:p w14:paraId="04DB45D3" w14:textId="77777777" w:rsidR="00A01A90" w:rsidRDefault="00A01A9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444FA" w14:textId="1FB46D1A" w:rsidR="00E6133D" w:rsidRDefault="00E6133D">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7527BE">
      <w:rPr>
        <w:noProof/>
        <w:color w:val="000000"/>
      </w:rPr>
      <w:t>2</w:t>
    </w:r>
    <w:r>
      <w:rPr>
        <w:color w:val="000000"/>
      </w:rPr>
      <w:fldChar w:fldCharType="end"/>
    </w:r>
  </w:p>
  <w:p w14:paraId="5346F214" w14:textId="77777777" w:rsidR="00E6133D" w:rsidRDefault="00E6133D">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786966" w14:textId="77777777" w:rsidR="00A01A90" w:rsidRDefault="00A01A90">
      <w:pPr>
        <w:spacing w:after="0"/>
      </w:pPr>
      <w:r>
        <w:separator/>
      </w:r>
    </w:p>
  </w:footnote>
  <w:footnote w:type="continuationSeparator" w:id="0">
    <w:p w14:paraId="33E7B4D9" w14:textId="77777777" w:rsidR="00A01A90" w:rsidRDefault="00A01A90">
      <w:pPr>
        <w:spacing w:after="0"/>
      </w:pPr>
      <w:r>
        <w:continuationSeparator/>
      </w:r>
    </w:p>
  </w:footnote>
  <w:footnote w:type="continuationNotice" w:id="1">
    <w:p w14:paraId="522FA01F" w14:textId="77777777" w:rsidR="00A01A90" w:rsidRDefault="00A01A9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04CCF" w14:textId="77777777" w:rsidR="00E6133D" w:rsidRDefault="00E6133D">
    <w:pPr>
      <w:jc w:val="right"/>
      <w:rPr>
        <w:sz w:val="20"/>
        <w:szCs w:val="20"/>
      </w:rPr>
    </w:pPr>
  </w:p>
  <w:p w14:paraId="186F9857" w14:textId="77777777" w:rsidR="00E6133D" w:rsidRDefault="00E6133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AC5390"/>
    <w:multiLevelType w:val="multilevel"/>
    <w:tmpl w:val="E0FCC29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F8D4926"/>
    <w:multiLevelType w:val="hybridMultilevel"/>
    <w:tmpl w:val="180283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84470719">
    <w:abstractNumId w:val="0"/>
  </w:num>
  <w:num w:numId="2" w16cid:durableId="6180741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133D"/>
    <w:rsid w:val="000014E1"/>
    <w:rsid w:val="00007603"/>
    <w:rsid w:val="0001747D"/>
    <w:rsid w:val="00017620"/>
    <w:rsid w:val="00020A24"/>
    <w:rsid w:val="00023669"/>
    <w:rsid w:val="000244F0"/>
    <w:rsid w:val="00024967"/>
    <w:rsid w:val="00026155"/>
    <w:rsid w:val="000268F7"/>
    <w:rsid w:val="00030A59"/>
    <w:rsid w:val="000373E7"/>
    <w:rsid w:val="00042E1C"/>
    <w:rsid w:val="00047CA2"/>
    <w:rsid w:val="000530ED"/>
    <w:rsid w:val="00054342"/>
    <w:rsid w:val="0006107F"/>
    <w:rsid w:val="00062F10"/>
    <w:rsid w:val="0006320D"/>
    <w:rsid w:val="0006439B"/>
    <w:rsid w:val="00067992"/>
    <w:rsid w:val="00072D78"/>
    <w:rsid w:val="00073AA0"/>
    <w:rsid w:val="00073EB3"/>
    <w:rsid w:val="00081153"/>
    <w:rsid w:val="0008248A"/>
    <w:rsid w:val="00084FCF"/>
    <w:rsid w:val="0008519F"/>
    <w:rsid w:val="000863F6"/>
    <w:rsid w:val="000A108F"/>
    <w:rsid w:val="000A13DC"/>
    <w:rsid w:val="000A1A24"/>
    <w:rsid w:val="000B4C7D"/>
    <w:rsid w:val="000C254B"/>
    <w:rsid w:val="000C3044"/>
    <w:rsid w:val="000C6887"/>
    <w:rsid w:val="000C7A94"/>
    <w:rsid w:val="000D3A82"/>
    <w:rsid w:val="000E2EAC"/>
    <w:rsid w:val="000E3957"/>
    <w:rsid w:val="000E7EBD"/>
    <w:rsid w:val="000F10DC"/>
    <w:rsid w:val="000F19E5"/>
    <w:rsid w:val="000F2F2A"/>
    <w:rsid w:val="000F5DC7"/>
    <w:rsid w:val="000F7FD8"/>
    <w:rsid w:val="00101212"/>
    <w:rsid w:val="00102A47"/>
    <w:rsid w:val="00104F52"/>
    <w:rsid w:val="0010596F"/>
    <w:rsid w:val="0011196B"/>
    <w:rsid w:val="00113009"/>
    <w:rsid w:val="0011313D"/>
    <w:rsid w:val="001131EE"/>
    <w:rsid w:val="00117AEF"/>
    <w:rsid w:val="00117F9B"/>
    <w:rsid w:val="00124D7E"/>
    <w:rsid w:val="00135317"/>
    <w:rsid w:val="00136023"/>
    <w:rsid w:val="00136EDE"/>
    <w:rsid w:val="0014049E"/>
    <w:rsid w:val="00140E60"/>
    <w:rsid w:val="00142EAA"/>
    <w:rsid w:val="00144306"/>
    <w:rsid w:val="00145F23"/>
    <w:rsid w:val="00146536"/>
    <w:rsid w:val="00150B54"/>
    <w:rsid w:val="00151292"/>
    <w:rsid w:val="001519AC"/>
    <w:rsid w:val="00152102"/>
    <w:rsid w:val="0015283C"/>
    <w:rsid w:val="001564CF"/>
    <w:rsid w:val="00156D05"/>
    <w:rsid w:val="001608B8"/>
    <w:rsid w:val="00160A9F"/>
    <w:rsid w:val="0016252E"/>
    <w:rsid w:val="0016415C"/>
    <w:rsid w:val="00165F01"/>
    <w:rsid w:val="001668E8"/>
    <w:rsid w:val="001704B2"/>
    <w:rsid w:val="00172421"/>
    <w:rsid w:val="00173F25"/>
    <w:rsid w:val="00175AE3"/>
    <w:rsid w:val="001763F4"/>
    <w:rsid w:val="00177202"/>
    <w:rsid w:val="00177567"/>
    <w:rsid w:val="00177AB4"/>
    <w:rsid w:val="00182FE5"/>
    <w:rsid w:val="00183D4B"/>
    <w:rsid w:val="00191B76"/>
    <w:rsid w:val="001921E8"/>
    <w:rsid w:val="001B17B0"/>
    <w:rsid w:val="001B7823"/>
    <w:rsid w:val="001C557E"/>
    <w:rsid w:val="001C62ED"/>
    <w:rsid w:val="001C650F"/>
    <w:rsid w:val="001D0979"/>
    <w:rsid w:val="001D29E3"/>
    <w:rsid w:val="001D47E6"/>
    <w:rsid w:val="001D7960"/>
    <w:rsid w:val="001E15FD"/>
    <w:rsid w:val="001F2191"/>
    <w:rsid w:val="001F286A"/>
    <w:rsid w:val="001F4309"/>
    <w:rsid w:val="001F6DB2"/>
    <w:rsid w:val="00201CB7"/>
    <w:rsid w:val="00204F3D"/>
    <w:rsid w:val="00210ADC"/>
    <w:rsid w:val="0021116F"/>
    <w:rsid w:val="00212C79"/>
    <w:rsid w:val="002130A3"/>
    <w:rsid w:val="00214324"/>
    <w:rsid w:val="00216E10"/>
    <w:rsid w:val="002232CA"/>
    <w:rsid w:val="0022342E"/>
    <w:rsid w:val="00223F2D"/>
    <w:rsid w:val="00231A81"/>
    <w:rsid w:val="00231EAB"/>
    <w:rsid w:val="00240D62"/>
    <w:rsid w:val="00243FBE"/>
    <w:rsid w:val="00245783"/>
    <w:rsid w:val="00246161"/>
    <w:rsid w:val="00250F72"/>
    <w:rsid w:val="0025313B"/>
    <w:rsid w:val="002644DB"/>
    <w:rsid w:val="00266DF7"/>
    <w:rsid w:val="00270945"/>
    <w:rsid w:val="00276C90"/>
    <w:rsid w:val="00281F86"/>
    <w:rsid w:val="00290C37"/>
    <w:rsid w:val="0029381D"/>
    <w:rsid w:val="00295132"/>
    <w:rsid w:val="002A247A"/>
    <w:rsid w:val="002A424E"/>
    <w:rsid w:val="002A7053"/>
    <w:rsid w:val="002A7C27"/>
    <w:rsid w:val="002B0176"/>
    <w:rsid w:val="002B2848"/>
    <w:rsid w:val="002B52DC"/>
    <w:rsid w:val="002B648F"/>
    <w:rsid w:val="002C1C6E"/>
    <w:rsid w:val="002D0417"/>
    <w:rsid w:val="002D7ADC"/>
    <w:rsid w:val="002E0138"/>
    <w:rsid w:val="002E1EEC"/>
    <w:rsid w:val="002E53AF"/>
    <w:rsid w:val="002E5CA7"/>
    <w:rsid w:val="002F0A82"/>
    <w:rsid w:val="002F1514"/>
    <w:rsid w:val="002F3F48"/>
    <w:rsid w:val="002F651C"/>
    <w:rsid w:val="002F7BD1"/>
    <w:rsid w:val="00300B2D"/>
    <w:rsid w:val="00315BF9"/>
    <w:rsid w:val="003208E2"/>
    <w:rsid w:val="0032156B"/>
    <w:rsid w:val="003230C2"/>
    <w:rsid w:val="0032410D"/>
    <w:rsid w:val="00324FCB"/>
    <w:rsid w:val="00326722"/>
    <w:rsid w:val="00330B06"/>
    <w:rsid w:val="003317C7"/>
    <w:rsid w:val="00331BBF"/>
    <w:rsid w:val="00333F4D"/>
    <w:rsid w:val="00335C69"/>
    <w:rsid w:val="00335F65"/>
    <w:rsid w:val="0034203E"/>
    <w:rsid w:val="00343CB9"/>
    <w:rsid w:val="003443F8"/>
    <w:rsid w:val="00344EB4"/>
    <w:rsid w:val="0034616B"/>
    <w:rsid w:val="00347B7A"/>
    <w:rsid w:val="00357D24"/>
    <w:rsid w:val="00357E67"/>
    <w:rsid w:val="00366DFA"/>
    <w:rsid w:val="00367C18"/>
    <w:rsid w:val="0037061F"/>
    <w:rsid w:val="0037290C"/>
    <w:rsid w:val="00372B19"/>
    <w:rsid w:val="0037743B"/>
    <w:rsid w:val="0038080F"/>
    <w:rsid w:val="003830A5"/>
    <w:rsid w:val="00383808"/>
    <w:rsid w:val="0039135B"/>
    <w:rsid w:val="003928DA"/>
    <w:rsid w:val="003945FF"/>
    <w:rsid w:val="003A0355"/>
    <w:rsid w:val="003A1990"/>
    <w:rsid w:val="003A26A5"/>
    <w:rsid w:val="003A58D8"/>
    <w:rsid w:val="003B414F"/>
    <w:rsid w:val="003B72DD"/>
    <w:rsid w:val="003B795A"/>
    <w:rsid w:val="003C09DE"/>
    <w:rsid w:val="003C4CDB"/>
    <w:rsid w:val="003C63B0"/>
    <w:rsid w:val="003C793E"/>
    <w:rsid w:val="003D21F7"/>
    <w:rsid w:val="003E57DD"/>
    <w:rsid w:val="003F2815"/>
    <w:rsid w:val="003F4416"/>
    <w:rsid w:val="003F4D72"/>
    <w:rsid w:val="00400E19"/>
    <w:rsid w:val="0041385D"/>
    <w:rsid w:val="00413EEC"/>
    <w:rsid w:val="00414025"/>
    <w:rsid w:val="00414F4B"/>
    <w:rsid w:val="00415117"/>
    <w:rsid w:val="00422E36"/>
    <w:rsid w:val="00427BB0"/>
    <w:rsid w:val="0043724C"/>
    <w:rsid w:val="00442939"/>
    <w:rsid w:val="00443085"/>
    <w:rsid w:val="0044592B"/>
    <w:rsid w:val="004464D3"/>
    <w:rsid w:val="0044781C"/>
    <w:rsid w:val="004508AE"/>
    <w:rsid w:val="004511BD"/>
    <w:rsid w:val="0045188A"/>
    <w:rsid w:val="00452E98"/>
    <w:rsid w:val="00455F8F"/>
    <w:rsid w:val="0045701E"/>
    <w:rsid w:val="004571FB"/>
    <w:rsid w:val="00457561"/>
    <w:rsid w:val="00457799"/>
    <w:rsid w:val="00460D23"/>
    <w:rsid w:val="004626C1"/>
    <w:rsid w:val="00467F3F"/>
    <w:rsid w:val="00470D0E"/>
    <w:rsid w:val="00474D11"/>
    <w:rsid w:val="004768C8"/>
    <w:rsid w:val="00483D1D"/>
    <w:rsid w:val="0049034C"/>
    <w:rsid w:val="00491357"/>
    <w:rsid w:val="00491A57"/>
    <w:rsid w:val="004A077D"/>
    <w:rsid w:val="004B0173"/>
    <w:rsid w:val="004B0375"/>
    <w:rsid w:val="004B135C"/>
    <w:rsid w:val="004B2113"/>
    <w:rsid w:val="004C1DF1"/>
    <w:rsid w:val="004C47EC"/>
    <w:rsid w:val="004C62A5"/>
    <w:rsid w:val="004C7C2C"/>
    <w:rsid w:val="004E13AD"/>
    <w:rsid w:val="004E22AE"/>
    <w:rsid w:val="004E3F77"/>
    <w:rsid w:val="004E45FC"/>
    <w:rsid w:val="004F2360"/>
    <w:rsid w:val="004F4C36"/>
    <w:rsid w:val="00501604"/>
    <w:rsid w:val="00501F3A"/>
    <w:rsid w:val="00507B93"/>
    <w:rsid w:val="00512752"/>
    <w:rsid w:val="00512F87"/>
    <w:rsid w:val="0052345E"/>
    <w:rsid w:val="0052439F"/>
    <w:rsid w:val="00535367"/>
    <w:rsid w:val="00537340"/>
    <w:rsid w:val="00540DBD"/>
    <w:rsid w:val="00543D27"/>
    <w:rsid w:val="00546028"/>
    <w:rsid w:val="00554F92"/>
    <w:rsid w:val="00557318"/>
    <w:rsid w:val="005578BA"/>
    <w:rsid w:val="00562906"/>
    <w:rsid w:val="00563A6D"/>
    <w:rsid w:val="005646F9"/>
    <w:rsid w:val="00565378"/>
    <w:rsid w:val="00570E18"/>
    <w:rsid w:val="00570E39"/>
    <w:rsid w:val="00580AE4"/>
    <w:rsid w:val="00584C04"/>
    <w:rsid w:val="00586C3D"/>
    <w:rsid w:val="005871D0"/>
    <w:rsid w:val="0059354D"/>
    <w:rsid w:val="005960F8"/>
    <w:rsid w:val="00596746"/>
    <w:rsid w:val="005A10D6"/>
    <w:rsid w:val="005A1EBE"/>
    <w:rsid w:val="005A5F12"/>
    <w:rsid w:val="005A6BB9"/>
    <w:rsid w:val="005A78D5"/>
    <w:rsid w:val="005A7B33"/>
    <w:rsid w:val="005B0CB8"/>
    <w:rsid w:val="005B3452"/>
    <w:rsid w:val="005B45B1"/>
    <w:rsid w:val="005B6DCD"/>
    <w:rsid w:val="005B79B1"/>
    <w:rsid w:val="005C18AB"/>
    <w:rsid w:val="005C6E1D"/>
    <w:rsid w:val="005C7088"/>
    <w:rsid w:val="005C7DD7"/>
    <w:rsid w:val="005D0608"/>
    <w:rsid w:val="005D3B51"/>
    <w:rsid w:val="005D40CB"/>
    <w:rsid w:val="005D770C"/>
    <w:rsid w:val="005D7D93"/>
    <w:rsid w:val="005E3484"/>
    <w:rsid w:val="005E68D9"/>
    <w:rsid w:val="005E696A"/>
    <w:rsid w:val="005F11C8"/>
    <w:rsid w:val="005F2476"/>
    <w:rsid w:val="005F5699"/>
    <w:rsid w:val="00601861"/>
    <w:rsid w:val="00602114"/>
    <w:rsid w:val="00607E78"/>
    <w:rsid w:val="00610AA4"/>
    <w:rsid w:val="00615A81"/>
    <w:rsid w:val="006162F5"/>
    <w:rsid w:val="00622647"/>
    <w:rsid w:val="006234F0"/>
    <w:rsid w:val="00623869"/>
    <w:rsid w:val="00623A75"/>
    <w:rsid w:val="00623B33"/>
    <w:rsid w:val="006257DE"/>
    <w:rsid w:val="0063383A"/>
    <w:rsid w:val="0063584A"/>
    <w:rsid w:val="006366B1"/>
    <w:rsid w:val="0064208A"/>
    <w:rsid w:val="00642F64"/>
    <w:rsid w:val="00643D46"/>
    <w:rsid w:val="00650467"/>
    <w:rsid w:val="006541B7"/>
    <w:rsid w:val="006549AE"/>
    <w:rsid w:val="00666692"/>
    <w:rsid w:val="0067584E"/>
    <w:rsid w:val="0067717C"/>
    <w:rsid w:val="00680D3D"/>
    <w:rsid w:val="00682C23"/>
    <w:rsid w:val="00691AEA"/>
    <w:rsid w:val="00692CA9"/>
    <w:rsid w:val="006966FA"/>
    <w:rsid w:val="00697490"/>
    <w:rsid w:val="006A1580"/>
    <w:rsid w:val="006A4F0F"/>
    <w:rsid w:val="006A55F5"/>
    <w:rsid w:val="006A7278"/>
    <w:rsid w:val="006B42F7"/>
    <w:rsid w:val="006B4472"/>
    <w:rsid w:val="006B5D26"/>
    <w:rsid w:val="006B6736"/>
    <w:rsid w:val="006C0352"/>
    <w:rsid w:val="006C2316"/>
    <w:rsid w:val="006C3DC3"/>
    <w:rsid w:val="006D004B"/>
    <w:rsid w:val="006D0E2E"/>
    <w:rsid w:val="006D403D"/>
    <w:rsid w:val="006D587D"/>
    <w:rsid w:val="006E09D3"/>
    <w:rsid w:val="006E11E1"/>
    <w:rsid w:val="006E1ABB"/>
    <w:rsid w:val="006E40EA"/>
    <w:rsid w:val="006E655F"/>
    <w:rsid w:val="006F53CC"/>
    <w:rsid w:val="007040C5"/>
    <w:rsid w:val="00705577"/>
    <w:rsid w:val="00706AE7"/>
    <w:rsid w:val="007141C8"/>
    <w:rsid w:val="00723F97"/>
    <w:rsid w:val="00726FAB"/>
    <w:rsid w:val="007331FA"/>
    <w:rsid w:val="0073583C"/>
    <w:rsid w:val="00737493"/>
    <w:rsid w:val="0074135A"/>
    <w:rsid w:val="00741BAC"/>
    <w:rsid w:val="00744BA7"/>
    <w:rsid w:val="0074781C"/>
    <w:rsid w:val="007527BE"/>
    <w:rsid w:val="0075723C"/>
    <w:rsid w:val="007648CE"/>
    <w:rsid w:val="00770489"/>
    <w:rsid w:val="007766EC"/>
    <w:rsid w:val="00777BEB"/>
    <w:rsid w:val="0078720B"/>
    <w:rsid w:val="007960C9"/>
    <w:rsid w:val="007966C6"/>
    <w:rsid w:val="007A4387"/>
    <w:rsid w:val="007A562E"/>
    <w:rsid w:val="007A5696"/>
    <w:rsid w:val="007B10CA"/>
    <w:rsid w:val="007B1637"/>
    <w:rsid w:val="007C48BE"/>
    <w:rsid w:val="007C75F7"/>
    <w:rsid w:val="007D0739"/>
    <w:rsid w:val="007D1FB1"/>
    <w:rsid w:val="007D51AE"/>
    <w:rsid w:val="007D53A7"/>
    <w:rsid w:val="007E40CB"/>
    <w:rsid w:val="007E5202"/>
    <w:rsid w:val="007E5ACE"/>
    <w:rsid w:val="007F0224"/>
    <w:rsid w:val="007F64C6"/>
    <w:rsid w:val="007F6D62"/>
    <w:rsid w:val="007F787E"/>
    <w:rsid w:val="00800414"/>
    <w:rsid w:val="00800D01"/>
    <w:rsid w:val="00801AC3"/>
    <w:rsid w:val="008054BB"/>
    <w:rsid w:val="00806E39"/>
    <w:rsid w:val="00810A3B"/>
    <w:rsid w:val="00810FA4"/>
    <w:rsid w:val="008113A2"/>
    <w:rsid w:val="00812256"/>
    <w:rsid w:val="0081246F"/>
    <w:rsid w:val="00815315"/>
    <w:rsid w:val="008276E1"/>
    <w:rsid w:val="00830A67"/>
    <w:rsid w:val="00834F25"/>
    <w:rsid w:val="00835B04"/>
    <w:rsid w:val="0083638C"/>
    <w:rsid w:val="00836AFD"/>
    <w:rsid w:val="00844084"/>
    <w:rsid w:val="00850FE0"/>
    <w:rsid w:val="008512C1"/>
    <w:rsid w:val="0085377D"/>
    <w:rsid w:val="008553A6"/>
    <w:rsid w:val="0085606C"/>
    <w:rsid w:val="00856C10"/>
    <w:rsid w:val="00863373"/>
    <w:rsid w:val="00876060"/>
    <w:rsid w:val="00876E44"/>
    <w:rsid w:val="00887DE3"/>
    <w:rsid w:val="00891637"/>
    <w:rsid w:val="00892C98"/>
    <w:rsid w:val="008A369C"/>
    <w:rsid w:val="008A5FCD"/>
    <w:rsid w:val="008A6E04"/>
    <w:rsid w:val="008B112A"/>
    <w:rsid w:val="008B2964"/>
    <w:rsid w:val="008B73F4"/>
    <w:rsid w:val="008C31C8"/>
    <w:rsid w:val="008D0E17"/>
    <w:rsid w:val="008D7EAC"/>
    <w:rsid w:val="008E6463"/>
    <w:rsid w:val="008E6DB8"/>
    <w:rsid w:val="008F43D8"/>
    <w:rsid w:val="008F50C9"/>
    <w:rsid w:val="008F7360"/>
    <w:rsid w:val="00904FBD"/>
    <w:rsid w:val="00905785"/>
    <w:rsid w:val="0090728F"/>
    <w:rsid w:val="009116FD"/>
    <w:rsid w:val="0091170A"/>
    <w:rsid w:val="0091447D"/>
    <w:rsid w:val="00914CAD"/>
    <w:rsid w:val="009200E2"/>
    <w:rsid w:val="0092287D"/>
    <w:rsid w:val="00934089"/>
    <w:rsid w:val="00937C3D"/>
    <w:rsid w:val="00947673"/>
    <w:rsid w:val="00947B3D"/>
    <w:rsid w:val="009547E8"/>
    <w:rsid w:val="0095534A"/>
    <w:rsid w:val="00955DAE"/>
    <w:rsid w:val="00957A2A"/>
    <w:rsid w:val="00964223"/>
    <w:rsid w:val="00973FDD"/>
    <w:rsid w:val="0097415A"/>
    <w:rsid w:val="009744CB"/>
    <w:rsid w:val="00974965"/>
    <w:rsid w:val="00974C73"/>
    <w:rsid w:val="00974D18"/>
    <w:rsid w:val="0097569F"/>
    <w:rsid w:val="00977008"/>
    <w:rsid w:val="00980C22"/>
    <w:rsid w:val="00981E4C"/>
    <w:rsid w:val="0098231B"/>
    <w:rsid w:val="00983CF9"/>
    <w:rsid w:val="009845E3"/>
    <w:rsid w:val="00985A11"/>
    <w:rsid w:val="0099310C"/>
    <w:rsid w:val="00993EA5"/>
    <w:rsid w:val="00995E3C"/>
    <w:rsid w:val="009A0B13"/>
    <w:rsid w:val="009B24C9"/>
    <w:rsid w:val="009B700B"/>
    <w:rsid w:val="009D5D0E"/>
    <w:rsid w:val="009D62FD"/>
    <w:rsid w:val="009D65D9"/>
    <w:rsid w:val="009D7041"/>
    <w:rsid w:val="009E49C6"/>
    <w:rsid w:val="009E4EB9"/>
    <w:rsid w:val="009E5B80"/>
    <w:rsid w:val="009F23DF"/>
    <w:rsid w:val="009F35CD"/>
    <w:rsid w:val="009F4690"/>
    <w:rsid w:val="009F66BE"/>
    <w:rsid w:val="009F79D4"/>
    <w:rsid w:val="00A006F7"/>
    <w:rsid w:val="00A014D7"/>
    <w:rsid w:val="00A01637"/>
    <w:rsid w:val="00A01A90"/>
    <w:rsid w:val="00A031C6"/>
    <w:rsid w:val="00A05CFF"/>
    <w:rsid w:val="00A12492"/>
    <w:rsid w:val="00A133A5"/>
    <w:rsid w:val="00A1401C"/>
    <w:rsid w:val="00A20981"/>
    <w:rsid w:val="00A21CAB"/>
    <w:rsid w:val="00A22600"/>
    <w:rsid w:val="00A23395"/>
    <w:rsid w:val="00A30DB7"/>
    <w:rsid w:val="00A35908"/>
    <w:rsid w:val="00A52070"/>
    <w:rsid w:val="00A53343"/>
    <w:rsid w:val="00A609B0"/>
    <w:rsid w:val="00A61F6D"/>
    <w:rsid w:val="00A635A9"/>
    <w:rsid w:val="00A63803"/>
    <w:rsid w:val="00A6480D"/>
    <w:rsid w:val="00A66143"/>
    <w:rsid w:val="00A700D1"/>
    <w:rsid w:val="00A7226A"/>
    <w:rsid w:val="00A72A59"/>
    <w:rsid w:val="00A74DB2"/>
    <w:rsid w:val="00A82652"/>
    <w:rsid w:val="00A82AF4"/>
    <w:rsid w:val="00A85CC3"/>
    <w:rsid w:val="00A90096"/>
    <w:rsid w:val="00AA17D3"/>
    <w:rsid w:val="00AA3A72"/>
    <w:rsid w:val="00AA7D33"/>
    <w:rsid w:val="00AB03B7"/>
    <w:rsid w:val="00AB2321"/>
    <w:rsid w:val="00AB629C"/>
    <w:rsid w:val="00AC1A00"/>
    <w:rsid w:val="00AC537B"/>
    <w:rsid w:val="00AC5BCC"/>
    <w:rsid w:val="00AC68BF"/>
    <w:rsid w:val="00AC7BEA"/>
    <w:rsid w:val="00AD222C"/>
    <w:rsid w:val="00AD3F3D"/>
    <w:rsid w:val="00AD692A"/>
    <w:rsid w:val="00AE2AFB"/>
    <w:rsid w:val="00AE3471"/>
    <w:rsid w:val="00AE3D30"/>
    <w:rsid w:val="00AE60EF"/>
    <w:rsid w:val="00AF17F8"/>
    <w:rsid w:val="00AF7D8C"/>
    <w:rsid w:val="00B01373"/>
    <w:rsid w:val="00B10264"/>
    <w:rsid w:val="00B12FBA"/>
    <w:rsid w:val="00B26602"/>
    <w:rsid w:val="00B303C2"/>
    <w:rsid w:val="00B30924"/>
    <w:rsid w:val="00B328F9"/>
    <w:rsid w:val="00B34BBB"/>
    <w:rsid w:val="00B4169B"/>
    <w:rsid w:val="00B472C5"/>
    <w:rsid w:val="00B536F3"/>
    <w:rsid w:val="00B54251"/>
    <w:rsid w:val="00B601EB"/>
    <w:rsid w:val="00B7151E"/>
    <w:rsid w:val="00B72628"/>
    <w:rsid w:val="00B746C6"/>
    <w:rsid w:val="00B74752"/>
    <w:rsid w:val="00B759D9"/>
    <w:rsid w:val="00B75DEA"/>
    <w:rsid w:val="00B817FF"/>
    <w:rsid w:val="00B83643"/>
    <w:rsid w:val="00B876C7"/>
    <w:rsid w:val="00B9147E"/>
    <w:rsid w:val="00BA2BE3"/>
    <w:rsid w:val="00BA305D"/>
    <w:rsid w:val="00BA368E"/>
    <w:rsid w:val="00BA4445"/>
    <w:rsid w:val="00BC0B96"/>
    <w:rsid w:val="00BC0E33"/>
    <w:rsid w:val="00BC1A69"/>
    <w:rsid w:val="00BC1BC4"/>
    <w:rsid w:val="00BC2230"/>
    <w:rsid w:val="00BC51DF"/>
    <w:rsid w:val="00BC5757"/>
    <w:rsid w:val="00BC585C"/>
    <w:rsid w:val="00BD1FB4"/>
    <w:rsid w:val="00BD4010"/>
    <w:rsid w:val="00BD6BA2"/>
    <w:rsid w:val="00BE0914"/>
    <w:rsid w:val="00BE3E52"/>
    <w:rsid w:val="00BF2EE7"/>
    <w:rsid w:val="00BF38FB"/>
    <w:rsid w:val="00BF5486"/>
    <w:rsid w:val="00BF5543"/>
    <w:rsid w:val="00BF6B1B"/>
    <w:rsid w:val="00BF7528"/>
    <w:rsid w:val="00C025BE"/>
    <w:rsid w:val="00C053A3"/>
    <w:rsid w:val="00C06492"/>
    <w:rsid w:val="00C0765E"/>
    <w:rsid w:val="00C07D6D"/>
    <w:rsid w:val="00C11B4B"/>
    <w:rsid w:val="00C12233"/>
    <w:rsid w:val="00C12D85"/>
    <w:rsid w:val="00C12E27"/>
    <w:rsid w:val="00C1318B"/>
    <w:rsid w:val="00C2048B"/>
    <w:rsid w:val="00C260FB"/>
    <w:rsid w:val="00C27986"/>
    <w:rsid w:val="00C327F5"/>
    <w:rsid w:val="00C3442F"/>
    <w:rsid w:val="00C3585B"/>
    <w:rsid w:val="00C4016C"/>
    <w:rsid w:val="00C403C8"/>
    <w:rsid w:val="00C4394D"/>
    <w:rsid w:val="00C4457A"/>
    <w:rsid w:val="00C46C9D"/>
    <w:rsid w:val="00C50041"/>
    <w:rsid w:val="00C5424D"/>
    <w:rsid w:val="00C54759"/>
    <w:rsid w:val="00C553D2"/>
    <w:rsid w:val="00C5765D"/>
    <w:rsid w:val="00C6213B"/>
    <w:rsid w:val="00C65487"/>
    <w:rsid w:val="00C66724"/>
    <w:rsid w:val="00C70E0C"/>
    <w:rsid w:val="00C717FB"/>
    <w:rsid w:val="00C73353"/>
    <w:rsid w:val="00C74629"/>
    <w:rsid w:val="00C801DA"/>
    <w:rsid w:val="00C82311"/>
    <w:rsid w:val="00C84862"/>
    <w:rsid w:val="00C90547"/>
    <w:rsid w:val="00C956A6"/>
    <w:rsid w:val="00C9757F"/>
    <w:rsid w:val="00C97AF8"/>
    <w:rsid w:val="00CA0BED"/>
    <w:rsid w:val="00CA1D28"/>
    <w:rsid w:val="00CA3B44"/>
    <w:rsid w:val="00CB1FC1"/>
    <w:rsid w:val="00CB20DD"/>
    <w:rsid w:val="00CB25D2"/>
    <w:rsid w:val="00CB3A11"/>
    <w:rsid w:val="00CB5B28"/>
    <w:rsid w:val="00CB6613"/>
    <w:rsid w:val="00CC12C4"/>
    <w:rsid w:val="00CD6D72"/>
    <w:rsid w:val="00CE3040"/>
    <w:rsid w:val="00CF2758"/>
    <w:rsid w:val="00CF7363"/>
    <w:rsid w:val="00CF7473"/>
    <w:rsid w:val="00CF7881"/>
    <w:rsid w:val="00D001FF"/>
    <w:rsid w:val="00D044E2"/>
    <w:rsid w:val="00D058CF"/>
    <w:rsid w:val="00D11BED"/>
    <w:rsid w:val="00D15849"/>
    <w:rsid w:val="00D202B0"/>
    <w:rsid w:val="00D2037E"/>
    <w:rsid w:val="00D237F2"/>
    <w:rsid w:val="00D254F9"/>
    <w:rsid w:val="00D2658A"/>
    <w:rsid w:val="00D26A25"/>
    <w:rsid w:val="00D320F3"/>
    <w:rsid w:val="00D3482E"/>
    <w:rsid w:val="00D34AAA"/>
    <w:rsid w:val="00D44091"/>
    <w:rsid w:val="00D443DC"/>
    <w:rsid w:val="00D50E37"/>
    <w:rsid w:val="00D548CE"/>
    <w:rsid w:val="00D557E0"/>
    <w:rsid w:val="00D62B44"/>
    <w:rsid w:val="00D6379A"/>
    <w:rsid w:val="00D7059E"/>
    <w:rsid w:val="00D74857"/>
    <w:rsid w:val="00D76B81"/>
    <w:rsid w:val="00D77235"/>
    <w:rsid w:val="00D776F2"/>
    <w:rsid w:val="00D8701C"/>
    <w:rsid w:val="00D92026"/>
    <w:rsid w:val="00D9354A"/>
    <w:rsid w:val="00D9396E"/>
    <w:rsid w:val="00D95356"/>
    <w:rsid w:val="00D95539"/>
    <w:rsid w:val="00D9627E"/>
    <w:rsid w:val="00D97027"/>
    <w:rsid w:val="00D9778D"/>
    <w:rsid w:val="00DA110A"/>
    <w:rsid w:val="00DA55DE"/>
    <w:rsid w:val="00DA7408"/>
    <w:rsid w:val="00DB0824"/>
    <w:rsid w:val="00DB0F28"/>
    <w:rsid w:val="00DB5947"/>
    <w:rsid w:val="00DB608D"/>
    <w:rsid w:val="00DB75F1"/>
    <w:rsid w:val="00DC5101"/>
    <w:rsid w:val="00DC7501"/>
    <w:rsid w:val="00DD07E6"/>
    <w:rsid w:val="00DD0AD9"/>
    <w:rsid w:val="00DD1577"/>
    <w:rsid w:val="00DD350A"/>
    <w:rsid w:val="00DD3D86"/>
    <w:rsid w:val="00DD78B1"/>
    <w:rsid w:val="00DD7D58"/>
    <w:rsid w:val="00DE3838"/>
    <w:rsid w:val="00DE743C"/>
    <w:rsid w:val="00DF21FB"/>
    <w:rsid w:val="00DF48AE"/>
    <w:rsid w:val="00DF49A4"/>
    <w:rsid w:val="00DF55E8"/>
    <w:rsid w:val="00DF56CA"/>
    <w:rsid w:val="00DF6969"/>
    <w:rsid w:val="00E01958"/>
    <w:rsid w:val="00E20AB2"/>
    <w:rsid w:val="00E25EE1"/>
    <w:rsid w:val="00E311E8"/>
    <w:rsid w:val="00E340B4"/>
    <w:rsid w:val="00E37898"/>
    <w:rsid w:val="00E426CA"/>
    <w:rsid w:val="00E4692D"/>
    <w:rsid w:val="00E50F38"/>
    <w:rsid w:val="00E521CA"/>
    <w:rsid w:val="00E576E1"/>
    <w:rsid w:val="00E5790F"/>
    <w:rsid w:val="00E6133D"/>
    <w:rsid w:val="00E6405B"/>
    <w:rsid w:val="00E66E43"/>
    <w:rsid w:val="00E744A9"/>
    <w:rsid w:val="00E756D3"/>
    <w:rsid w:val="00E763AD"/>
    <w:rsid w:val="00E827ED"/>
    <w:rsid w:val="00E86687"/>
    <w:rsid w:val="00E87A5B"/>
    <w:rsid w:val="00E90177"/>
    <w:rsid w:val="00E9222C"/>
    <w:rsid w:val="00E9224D"/>
    <w:rsid w:val="00E936A1"/>
    <w:rsid w:val="00E9DE33"/>
    <w:rsid w:val="00EA069F"/>
    <w:rsid w:val="00EA69C3"/>
    <w:rsid w:val="00EB244B"/>
    <w:rsid w:val="00EB354B"/>
    <w:rsid w:val="00EB3AFF"/>
    <w:rsid w:val="00EB4661"/>
    <w:rsid w:val="00EB4CB3"/>
    <w:rsid w:val="00EB504E"/>
    <w:rsid w:val="00EB662D"/>
    <w:rsid w:val="00EB78E9"/>
    <w:rsid w:val="00EC38D4"/>
    <w:rsid w:val="00ED1320"/>
    <w:rsid w:val="00EE2A8F"/>
    <w:rsid w:val="00EF051B"/>
    <w:rsid w:val="00EF113C"/>
    <w:rsid w:val="00EF46D2"/>
    <w:rsid w:val="00F02AF5"/>
    <w:rsid w:val="00F07A24"/>
    <w:rsid w:val="00F11A81"/>
    <w:rsid w:val="00F12F91"/>
    <w:rsid w:val="00F15DD7"/>
    <w:rsid w:val="00F20B35"/>
    <w:rsid w:val="00F2165E"/>
    <w:rsid w:val="00F217EB"/>
    <w:rsid w:val="00F21895"/>
    <w:rsid w:val="00F23AAE"/>
    <w:rsid w:val="00F249BB"/>
    <w:rsid w:val="00F256F8"/>
    <w:rsid w:val="00F30D1E"/>
    <w:rsid w:val="00F3296C"/>
    <w:rsid w:val="00F33988"/>
    <w:rsid w:val="00F3723A"/>
    <w:rsid w:val="00F44C20"/>
    <w:rsid w:val="00F4669B"/>
    <w:rsid w:val="00F47901"/>
    <w:rsid w:val="00F525D8"/>
    <w:rsid w:val="00F52AEE"/>
    <w:rsid w:val="00F54B56"/>
    <w:rsid w:val="00F55EE8"/>
    <w:rsid w:val="00F60D9F"/>
    <w:rsid w:val="00F63BC6"/>
    <w:rsid w:val="00F63FF9"/>
    <w:rsid w:val="00F649EE"/>
    <w:rsid w:val="00F64FC8"/>
    <w:rsid w:val="00F66E09"/>
    <w:rsid w:val="00F67215"/>
    <w:rsid w:val="00F70535"/>
    <w:rsid w:val="00F72005"/>
    <w:rsid w:val="00F74A61"/>
    <w:rsid w:val="00F7514E"/>
    <w:rsid w:val="00F80A69"/>
    <w:rsid w:val="00F82CBE"/>
    <w:rsid w:val="00F839A7"/>
    <w:rsid w:val="00F84232"/>
    <w:rsid w:val="00F868FE"/>
    <w:rsid w:val="00F86AFE"/>
    <w:rsid w:val="00F92B92"/>
    <w:rsid w:val="00FA43C9"/>
    <w:rsid w:val="00FB0284"/>
    <w:rsid w:val="00FB49BB"/>
    <w:rsid w:val="00FB701A"/>
    <w:rsid w:val="00FB7155"/>
    <w:rsid w:val="00FC03ED"/>
    <w:rsid w:val="00FC124B"/>
    <w:rsid w:val="00FC201C"/>
    <w:rsid w:val="00FC600C"/>
    <w:rsid w:val="00FD0917"/>
    <w:rsid w:val="00FD54F4"/>
    <w:rsid w:val="00FD5DA0"/>
    <w:rsid w:val="00FE0F6C"/>
    <w:rsid w:val="00FE1AB9"/>
    <w:rsid w:val="00FE3621"/>
    <w:rsid w:val="00FF065A"/>
    <w:rsid w:val="0104208C"/>
    <w:rsid w:val="01B72E02"/>
    <w:rsid w:val="0409FCB3"/>
    <w:rsid w:val="0581E6D6"/>
    <w:rsid w:val="05DEE0DC"/>
    <w:rsid w:val="05F639F4"/>
    <w:rsid w:val="06B8574B"/>
    <w:rsid w:val="06BA45EB"/>
    <w:rsid w:val="06D7DCF8"/>
    <w:rsid w:val="087C1870"/>
    <w:rsid w:val="088AD587"/>
    <w:rsid w:val="08AF07BB"/>
    <w:rsid w:val="08F56075"/>
    <w:rsid w:val="0995F1CC"/>
    <w:rsid w:val="0A0E3C6D"/>
    <w:rsid w:val="0A8FB4C1"/>
    <w:rsid w:val="0B84CCC5"/>
    <w:rsid w:val="0BC87372"/>
    <w:rsid w:val="0BF4020B"/>
    <w:rsid w:val="0C06E1AF"/>
    <w:rsid w:val="0C4C087F"/>
    <w:rsid w:val="0C9743DC"/>
    <w:rsid w:val="0CFD4811"/>
    <w:rsid w:val="0D330C1D"/>
    <w:rsid w:val="0D47C006"/>
    <w:rsid w:val="0DA5A70F"/>
    <w:rsid w:val="0DC955D9"/>
    <w:rsid w:val="0DED9CF2"/>
    <w:rsid w:val="0E2A74D5"/>
    <w:rsid w:val="0F3E71B4"/>
    <w:rsid w:val="0F3F8420"/>
    <w:rsid w:val="0F5A27F7"/>
    <w:rsid w:val="10A905C6"/>
    <w:rsid w:val="125776EE"/>
    <w:rsid w:val="12872954"/>
    <w:rsid w:val="12AED6A2"/>
    <w:rsid w:val="12CAA47D"/>
    <w:rsid w:val="13603036"/>
    <w:rsid w:val="1396FCE8"/>
    <w:rsid w:val="13DA625B"/>
    <w:rsid w:val="14683EB9"/>
    <w:rsid w:val="14E881CF"/>
    <w:rsid w:val="14F73C7F"/>
    <w:rsid w:val="15088DFF"/>
    <w:rsid w:val="1597D0B5"/>
    <w:rsid w:val="15ED6157"/>
    <w:rsid w:val="15F79CEB"/>
    <w:rsid w:val="16AF0D8D"/>
    <w:rsid w:val="16FF8FAE"/>
    <w:rsid w:val="1712031D"/>
    <w:rsid w:val="186FC048"/>
    <w:rsid w:val="18949D95"/>
    <w:rsid w:val="18A834BF"/>
    <w:rsid w:val="18D71323"/>
    <w:rsid w:val="191970E4"/>
    <w:rsid w:val="191D1B1D"/>
    <w:rsid w:val="1980808E"/>
    <w:rsid w:val="19CC79DB"/>
    <w:rsid w:val="19D4A901"/>
    <w:rsid w:val="19E82B91"/>
    <w:rsid w:val="1A0AED2A"/>
    <w:rsid w:val="1A7BBEDF"/>
    <w:rsid w:val="1AE60837"/>
    <w:rsid w:val="1BCC4BE3"/>
    <w:rsid w:val="1BF17F3E"/>
    <w:rsid w:val="1BF3C5D8"/>
    <w:rsid w:val="1C110617"/>
    <w:rsid w:val="1D6A2D80"/>
    <w:rsid w:val="1E697F24"/>
    <w:rsid w:val="1EFB30BB"/>
    <w:rsid w:val="1F206F02"/>
    <w:rsid w:val="205FAC39"/>
    <w:rsid w:val="20809E9D"/>
    <w:rsid w:val="20A69523"/>
    <w:rsid w:val="20B00B51"/>
    <w:rsid w:val="21F5D369"/>
    <w:rsid w:val="21F94C51"/>
    <w:rsid w:val="220AD1C5"/>
    <w:rsid w:val="226167DB"/>
    <w:rsid w:val="227869DC"/>
    <w:rsid w:val="227F8E61"/>
    <w:rsid w:val="2288A197"/>
    <w:rsid w:val="22B8903B"/>
    <w:rsid w:val="22F3D2A0"/>
    <w:rsid w:val="22F53E32"/>
    <w:rsid w:val="234A9DD9"/>
    <w:rsid w:val="23D75DC8"/>
    <w:rsid w:val="2405D412"/>
    <w:rsid w:val="252F60EC"/>
    <w:rsid w:val="25817FC1"/>
    <w:rsid w:val="25957D1F"/>
    <w:rsid w:val="25BEB22C"/>
    <w:rsid w:val="25DAE36D"/>
    <w:rsid w:val="26E42EFB"/>
    <w:rsid w:val="27416DDA"/>
    <w:rsid w:val="278EEE68"/>
    <w:rsid w:val="279FAB52"/>
    <w:rsid w:val="27AA0F7F"/>
    <w:rsid w:val="2800AA38"/>
    <w:rsid w:val="289EA4CE"/>
    <w:rsid w:val="29D8A91D"/>
    <w:rsid w:val="2A7429DB"/>
    <w:rsid w:val="2ABE4FE3"/>
    <w:rsid w:val="2C5F6888"/>
    <w:rsid w:val="2C63D5D6"/>
    <w:rsid w:val="2CE5D580"/>
    <w:rsid w:val="2D914C6B"/>
    <w:rsid w:val="2E0E251D"/>
    <w:rsid w:val="2FA9EABF"/>
    <w:rsid w:val="30097590"/>
    <w:rsid w:val="30686B1A"/>
    <w:rsid w:val="308E6C44"/>
    <w:rsid w:val="30A40BBC"/>
    <w:rsid w:val="3218E0CB"/>
    <w:rsid w:val="333818CD"/>
    <w:rsid w:val="33F84A5C"/>
    <w:rsid w:val="34972265"/>
    <w:rsid w:val="34A5D568"/>
    <w:rsid w:val="352D6281"/>
    <w:rsid w:val="35388700"/>
    <w:rsid w:val="35423C0E"/>
    <w:rsid w:val="357975C7"/>
    <w:rsid w:val="362B393E"/>
    <w:rsid w:val="3707611A"/>
    <w:rsid w:val="3717C856"/>
    <w:rsid w:val="38120A29"/>
    <w:rsid w:val="3865CA10"/>
    <w:rsid w:val="386B26E5"/>
    <w:rsid w:val="387E21F2"/>
    <w:rsid w:val="38850F22"/>
    <w:rsid w:val="389756B2"/>
    <w:rsid w:val="39C4A535"/>
    <w:rsid w:val="3A60E943"/>
    <w:rsid w:val="3BC534D4"/>
    <w:rsid w:val="3C2A2BEA"/>
    <w:rsid w:val="3C5ED9B6"/>
    <w:rsid w:val="3C92C33B"/>
    <w:rsid w:val="3CBD723F"/>
    <w:rsid w:val="3D79433D"/>
    <w:rsid w:val="3D9190CA"/>
    <w:rsid w:val="3ED966E7"/>
    <w:rsid w:val="3EECF980"/>
    <w:rsid w:val="3FFBD542"/>
    <w:rsid w:val="401A1DF6"/>
    <w:rsid w:val="402AB4C7"/>
    <w:rsid w:val="4115F61D"/>
    <w:rsid w:val="4147D6DD"/>
    <w:rsid w:val="41EF6348"/>
    <w:rsid w:val="423A61D6"/>
    <w:rsid w:val="42A62CEF"/>
    <w:rsid w:val="43608D62"/>
    <w:rsid w:val="43C26618"/>
    <w:rsid w:val="4414B97B"/>
    <w:rsid w:val="445DAC79"/>
    <w:rsid w:val="449A0929"/>
    <w:rsid w:val="4501A8AE"/>
    <w:rsid w:val="453A87A1"/>
    <w:rsid w:val="460B113A"/>
    <w:rsid w:val="46789E8D"/>
    <w:rsid w:val="4681FDD9"/>
    <w:rsid w:val="46D8C866"/>
    <w:rsid w:val="47005413"/>
    <w:rsid w:val="47254B5F"/>
    <w:rsid w:val="473CA700"/>
    <w:rsid w:val="477DCFEE"/>
    <w:rsid w:val="479820AE"/>
    <w:rsid w:val="47CFE39A"/>
    <w:rsid w:val="481DCE3A"/>
    <w:rsid w:val="4828ED11"/>
    <w:rsid w:val="497ACFB0"/>
    <w:rsid w:val="497E400B"/>
    <w:rsid w:val="4A1C6F8D"/>
    <w:rsid w:val="4A5BB5A1"/>
    <w:rsid w:val="4A74B866"/>
    <w:rsid w:val="4ACD838B"/>
    <w:rsid w:val="4B3BED75"/>
    <w:rsid w:val="4B556EFC"/>
    <w:rsid w:val="4C4CFBFB"/>
    <w:rsid w:val="4CCC5D01"/>
    <w:rsid w:val="4CD030A3"/>
    <w:rsid w:val="4CE4FAB9"/>
    <w:rsid w:val="4CF62419"/>
    <w:rsid w:val="4E3A711B"/>
    <w:rsid w:val="4F5BEB02"/>
    <w:rsid w:val="4F74D705"/>
    <w:rsid w:val="50D8BADC"/>
    <w:rsid w:val="50DFCD68"/>
    <w:rsid w:val="51370482"/>
    <w:rsid w:val="514D2A4E"/>
    <w:rsid w:val="524AA8C5"/>
    <w:rsid w:val="52A6C80E"/>
    <w:rsid w:val="52CDA79A"/>
    <w:rsid w:val="52F5207A"/>
    <w:rsid w:val="530E73CB"/>
    <w:rsid w:val="531768FC"/>
    <w:rsid w:val="536080E1"/>
    <w:rsid w:val="5402E06E"/>
    <w:rsid w:val="5429CBCE"/>
    <w:rsid w:val="55260DD4"/>
    <w:rsid w:val="5589B329"/>
    <w:rsid w:val="55E69622"/>
    <w:rsid w:val="5614AE8F"/>
    <w:rsid w:val="56B52645"/>
    <w:rsid w:val="56B8079B"/>
    <w:rsid w:val="57A443A5"/>
    <w:rsid w:val="57A4F123"/>
    <w:rsid w:val="57AB1B5F"/>
    <w:rsid w:val="5878B422"/>
    <w:rsid w:val="594DA4F2"/>
    <w:rsid w:val="596C5B97"/>
    <w:rsid w:val="597DB68B"/>
    <w:rsid w:val="5A82C76C"/>
    <w:rsid w:val="5ABC2ECD"/>
    <w:rsid w:val="5B0821C3"/>
    <w:rsid w:val="5B1A0918"/>
    <w:rsid w:val="5B27E239"/>
    <w:rsid w:val="5C76F70B"/>
    <w:rsid w:val="5CA1C810"/>
    <w:rsid w:val="5D2CEE7B"/>
    <w:rsid w:val="5D3BE81E"/>
    <w:rsid w:val="5EF54D1F"/>
    <w:rsid w:val="5F679BEF"/>
    <w:rsid w:val="5FDD4791"/>
    <w:rsid w:val="6054F116"/>
    <w:rsid w:val="60868454"/>
    <w:rsid w:val="619C5D75"/>
    <w:rsid w:val="61B79245"/>
    <w:rsid w:val="61D9A335"/>
    <w:rsid w:val="61E2488B"/>
    <w:rsid w:val="62015F8A"/>
    <w:rsid w:val="620720CF"/>
    <w:rsid w:val="633BF3DF"/>
    <w:rsid w:val="651169E1"/>
    <w:rsid w:val="653D5531"/>
    <w:rsid w:val="65C8B8FB"/>
    <w:rsid w:val="65CBF3D9"/>
    <w:rsid w:val="65E5C69F"/>
    <w:rsid w:val="6671E4FB"/>
    <w:rsid w:val="66B4FF16"/>
    <w:rsid w:val="66BBCD4A"/>
    <w:rsid w:val="66DB1302"/>
    <w:rsid w:val="67878376"/>
    <w:rsid w:val="67B12E7F"/>
    <w:rsid w:val="67C4E8B4"/>
    <w:rsid w:val="68970466"/>
    <w:rsid w:val="690B8807"/>
    <w:rsid w:val="6925336E"/>
    <w:rsid w:val="6964908B"/>
    <w:rsid w:val="69E22759"/>
    <w:rsid w:val="69FA5BB7"/>
    <w:rsid w:val="6A2546F9"/>
    <w:rsid w:val="6A38A1D6"/>
    <w:rsid w:val="6A771160"/>
    <w:rsid w:val="6B998857"/>
    <w:rsid w:val="6CAC89B0"/>
    <w:rsid w:val="6CC8DB59"/>
    <w:rsid w:val="6CCD17F6"/>
    <w:rsid w:val="6CF6C323"/>
    <w:rsid w:val="6D0E55FE"/>
    <w:rsid w:val="6D362249"/>
    <w:rsid w:val="6DFC8B1C"/>
    <w:rsid w:val="6E596FDF"/>
    <w:rsid w:val="6EF439C3"/>
    <w:rsid w:val="6F2B9128"/>
    <w:rsid w:val="6F82858F"/>
    <w:rsid w:val="6F997D2E"/>
    <w:rsid w:val="6FBFE674"/>
    <w:rsid w:val="7010E104"/>
    <w:rsid w:val="70183E0A"/>
    <w:rsid w:val="7048BDBD"/>
    <w:rsid w:val="707620F5"/>
    <w:rsid w:val="7109DCCF"/>
    <w:rsid w:val="71361AB9"/>
    <w:rsid w:val="713B522F"/>
    <w:rsid w:val="718E5F1D"/>
    <w:rsid w:val="71BA0E7D"/>
    <w:rsid w:val="71F4ECF8"/>
    <w:rsid w:val="72F9EA87"/>
    <w:rsid w:val="7380B08A"/>
    <w:rsid w:val="73BB6799"/>
    <w:rsid w:val="73C41A67"/>
    <w:rsid w:val="7493D52E"/>
    <w:rsid w:val="74D413BB"/>
    <w:rsid w:val="76B50001"/>
    <w:rsid w:val="77107617"/>
    <w:rsid w:val="788F9CE2"/>
    <w:rsid w:val="792CC305"/>
    <w:rsid w:val="794DCA9B"/>
    <w:rsid w:val="796589BE"/>
    <w:rsid w:val="796A06FE"/>
    <w:rsid w:val="7A1A8878"/>
    <w:rsid w:val="7B26D2BF"/>
    <w:rsid w:val="7B32AE82"/>
    <w:rsid w:val="7B848A4F"/>
    <w:rsid w:val="7C29F0CD"/>
    <w:rsid w:val="7C803547"/>
    <w:rsid w:val="7D9A4F04"/>
    <w:rsid w:val="7DB667BF"/>
    <w:rsid w:val="7E1F700A"/>
    <w:rsid w:val="7EBFF493"/>
    <w:rsid w:val="7EFFDE84"/>
    <w:rsid w:val="7F3AB280"/>
    <w:rsid w:val="7F71D0F7"/>
    <w:rsid w:val="7F86267E"/>
    <w:rsid w:val="7FFCEB4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622619"/>
  <w15:chartTrackingRefBased/>
  <w15:docId w15:val="{D879EC51-516A-4965-A69E-39A9FB2B4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6133D"/>
    <w:rPr>
      <w:sz w:val="16"/>
      <w:szCs w:val="16"/>
    </w:rPr>
  </w:style>
  <w:style w:type="paragraph" w:styleId="CommentText">
    <w:name w:val="annotation text"/>
    <w:basedOn w:val="Normal"/>
    <w:link w:val="CommentTextChar"/>
    <w:uiPriority w:val="99"/>
    <w:unhideWhenUsed/>
    <w:rsid w:val="00E6133D"/>
    <w:pPr>
      <w:spacing w:after="0"/>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E6133D"/>
    <w:rPr>
      <w:rFonts w:ascii="Times New Roman" w:eastAsia="Times New Roman" w:hAnsi="Times New Roman" w:cs="Times New Roman"/>
      <w:sz w:val="20"/>
      <w:szCs w:val="20"/>
    </w:rPr>
  </w:style>
  <w:style w:type="character" w:styleId="Hyperlink">
    <w:name w:val="Hyperlink"/>
    <w:basedOn w:val="DefaultParagraphFont"/>
    <w:uiPriority w:val="99"/>
    <w:unhideWhenUsed/>
    <w:rsid w:val="00E6133D"/>
    <w:rPr>
      <w:color w:val="0000FF" w:themeColor="hyperlink"/>
      <w:u w:val="single"/>
    </w:rPr>
  </w:style>
  <w:style w:type="paragraph" w:styleId="BalloonText">
    <w:name w:val="Balloon Text"/>
    <w:basedOn w:val="Normal"/>
    <w:link w:val="BalloonTextChar"/>
    <w:uiPriority w:val="99"/>
    <w:semiHidden/>
    <w:unhideWhenUsed/>
    <w:rsid w:val="00E6133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133D"/>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E6133D"/>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E6133D"/>
    <w:rPr>
      <w:rFonts w:ascii="Times New Roman" w:eastAsia="Times New Roman" w:hAnsi="Times New Roman" w:cs="Times New Roman"/>
      <w:b/>
      <w:bCs/>
      <w:sz w:val="20"/>
      <w:szCs w:val="20"/>
    </w:rPr>
  </w:style>
  <w:style w:type="paragraph" w:customStyle="1" w:styleId="SMcaption">
    <w:name w:val="SM caption"/>
    <w:basedOn w:val="Normal"/>
    <w:qFormat/>
    <w:rsid w:val="00483D1D"/>
    <w:pPr>
      <w:spacing w:after="0"/>
    </w:pPr>
    <w:rPr>
      <w:rFonts w:ascii="Times New Roman" w:eastAsia="Times New Roman" w:hAnsi="Times New Roman" w:cs="Times New Roman"/>
      <w:sz w:val="24"/>
      <w:szCs w:val="20"/>
    </w:rPr>
  </w:style>
  <w:style w:type="paragraph" w:styleId="NormalWeb">
    <w:name w:val="Normal (Web)"/>
    <w:basedOn w:val="Normal"/>
    <w:uiPriority w:val="99"/>
    <w:semiHidden/>
    <w:rsid w:val="00483D1D"/>
    <w:pPr>
      <w:spacing w:after="0"/>
    </w:pPr>
    <w:rPr>
      <w:rFonts w:ascii="Times New Roman" w:eastAsia="Times New Roman" w:hAnsi="Times New Roman" w:cs="Times New Roman"/>
      <w:sz w:val="24"/>
      <w:szCs w:val="24"/>
    </w:rPr>
  </w:style>
  <w:style w:type="character" w:customStyle="1" w:styleId="eop">
    <w:name w:val="eop"/>
    <w:basedOn w:val="DefaultParagraphFont"/>
    <w:rsid w:val="00F63FF9"/>
  </w:style>
  <w:style w:type="character" w:customStyle="1" w:styleId="full">
    <w:name w:val="full"/>
    <w:basedOn w:val="DefaultParagraphFont"/>
    <w:rsid w:val="00C3442F"/>
  </w:style>
  <w:style w:type="paragraph" w:styleId="Bibliography">
    <w:name w:val="Bibliography"/>
    <w:basedOn w:val="Normal"/>
    <w:next w:val="Normal"/>
    <w:uiPriority w:val="37"/>
    <w:unhideWhenUsed/>
    <w:rsid w:val="00C3442F"/>
    <w:pPr>
      <w:tabs>
        <w:tab w:val="left" w:pos="504"/>
      </w:tabs>
      <w:spacing w:after="240"/>
      <w:ind w:left="504" w:hanging="504"/>
    </w:pPr>
  </w:style>
  <w:style w:type="paragraph" w:styleId="Header">
    <w:name w:val="header"/>
    <w:basedOn w:val="Normal"/>
    <w:link w:val="HeaderChar"/>
    <w:uiPriority w:val="99"/>
    <w:semiHidden/>
    <w:unhideWhenUsed/>
    <w:rsid w:val="00415117"/>
    <w:pPr>
      <w:tabs>
        <w:tab w:val="center" w:pos="4680"/>
        <w:tab w:val="right" w:pos="9360"/>
      </w:tabs>
      <w:spacing w:after="0"/>
    </w:pPr>
  </w:style>
  <w:style w:type="character" w:customStyle="1" w:styleId="HeaderChar">
    <w:name w:val="Header Char"/>
    <w:basedOn w:val="DefaultParagraphFont"/>
    <w:link w:val="Header"/>
    <w:uiPriority w:val="99"/>
    <w:semiHidden/>
    <w:rsid w:val="00415117"/>
  </w:style>
  <w:style w:type="paragraph" w:styleId="Footer">
    <w:name w:val="footer"/>
    <w:basedOn w:val="Normal"/>
    <w:link w:val="FooterChar"/>
    <w:uiPriority w:val="99"/>
    <w:semiHidden/>
    <w:unhideWhenUsed/>
    <w:rsid w:val="00415117"/>
    <w:pPr>
      <w:tabs>
        <w:tab w:val="center" w:pos="4680"/>
        <w:tab w:val="right" w:pos="9360"/>
      </w:tabs>
      <w:spacing w:after="0"/>
    </w:pPr>
  </w:style>
  <w:style w:type="character" w:customStyle="1" w:styleId="FooterChar">
    <w:name w:val="Footer Char"/>
    <w:basedOn w:val="DefaultParagraphFont"/>
    <w:link w:val="Footer"/>
    <w:uiPriority w:val="99"/>
    <w:semiHidden/>
    <w:rsid w:val="00415117"/>
  </w:style>
  <w:style w:type="character" w:styleId="LineNumber">
    <w:name w:val="line number"/>
    <w:basedOn w:val="DefaultParagraphFont"/>
    <w:uiPriority w:val="99"/>
    <w:semiHidden/>
    <w:unhideWhenUsed/>
    <w:rsid w:val="00BD1FB4"/>
  </w:style>
  <w:style w:type="paragraph" w:styleId="Revision">
    <w:name w:val="Revision"/>
    <w:hidden/>
    <w:uiPriority w:val="99"/>
    <w:semiHidden/>
    <w:rsid w:val="0045701E"/>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144739">
      <w:bodyDiv w:val="1"/>
      <w:marLeft w:val="0"/>
      <w:marRight w:val="0"/>
      <w:marTop w:val="0"/>
      <w:marBottom w:val="0"/>
      <w:divBdr>
        <w:top w:val="none" w:sz="0" w:space="0" w:color="auto"/>
        <w:left w:val="none" w:sz="0" w:space="0" w:color="auto"/>
        <w:bottom w:val="none" w:sz="0" w:space="0" w:color="auto"/>
        <w:right w:val="none" w:sz="0" w:space="0" w:color="auto"/>
      </w:divBdr>
    </w:div>
    <w:div w:id="180434189">
      <w:bodyDiv w:val="1"/>
      <w:marLeft w:val="0"/>
      <w:marRight w:val="0"/>
      <w:marTop w:val="0"/>
      <w:marBottom w:val="0"/>
      <w:divBdr>
        <w:top w:val="none" w:sz="0" w:space="0" w:color="auto"/>
        <w:left w:val="none" w:sz="0" w:space="0" w:color="auto"/>
        <w:bottom w:val="none" w:sz="0" w:space="0" w:color="auto"/>
        <w:right w:val="none" w:sz="0" w:space="0" w:color="auto"/>
      </w:divBdr>
    </w:div>
    <w:div w:id="617764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5.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7.tiff"/><Relationship Id="rId10" Type="http://schemas.openxmlformats.org/officeDocument/2006/relationships/image" Target="media/image2.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github.com/bctrainorlab/behavioral_quantification" TargetMode="External"/><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60275-232B-4382-BF98-8D28A500D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32</Pages>
  <Words>53358</Words>
  <Characters>304147</Characters>
  <Application>Microsoft Office Word</Application>
  <DocSecurity>0</DocSecurity>
  <Lines>2534</Lines>
  <Paragraphs>713</Paragraphs>
  <ScaleCrop>false</ScaleCrop>
  <Company>The National Academies</Company>
  <LinksUpToDate>false</LinksUpToDate>
  <CharactersWithSpaces>356792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Shuler, Megan</dc:creator>
  <cp:keywords/>
  <dc:description/>
  <cp:lastModifiedBy>Brian C. Trainor</cp:lastModifiedBy>
  <cp:revision>3</cp:revision>
  <dcterms:created xsi:type="dcterms:W3CDTF">2023-09-28T17:01:00Z</dcterms:created>
  <dcterms:modified xsi:type="dcterms:W3CDTF">2023-09-28T17:04:00Z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zotero-version="6.0.27"&gt;&lt;session id="dX9booob"/&gt;&lt;style id="http://www.zotero.org/styles/pnas" hasBibliography="1" bibliographyStyleHasBeenSet="1"/&gt;&lt;prefs&gt;&lt;pref name="fieldType" value="Field"/&gt;&lt;/prefs&gt;&lt;/data&gt;</vt:lpwstr>
  </property>
</Properties>
</file>